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3859" w:rsidRPr="00CC0C88" w:rsidRDefault="006F3859" w:rsidP="006F3859">
      <w:pPr>
        <w:jc w:val="center"/>
        <w:rPr>
          <w:rFonts w:ascii="Times New Roman" w:hAnsi="Times New Roman"/>
          <w:b/>
          <w:sz w:val="22"/>
          <w:szCs w:val="22"/>
        </w:rPr>
      </w:pPr>
      <w:r w:rsidRPr="00CC0C88">
        <w:rPr>
          <w:rFonts w:ascii="Times New Roman" w:hAnsi="Times New Roman"/>
          <w:b/>
          <w:sz w:val="22"/>
          <w:szCs w:val="22"/>
        </w:rPr>
        <w:t>Checklist of main Center obligations</w:t>
      </w:r>
    </w:p>
    <w:p w:rsidR="006F3859" w:rsidRDefault="006F3859" w:rsidP="006F3859">
      <w:pPr>
        <w:jc w:val="center"/>
        <w:rPr>
          <w:rFonts w:ascii="Times New Roman" w:hAnsi="Times New Roman"/>
          <w:b/>
          <w:iCs/>
          <w:color w:val="000000"/>
          <w:sz w:val="22"/>
          <w:szCs w:val="22"/>
        </w:rPr>
      </w:pPr>
      <w:proofErr w:type="gramStart"/>
      <w:r w:rsidRPr="00CC0C88">
        <w:rPr>
          <w:rFonts w:ascii="Times New Roman" w:hAnsi="Times New Roman"/>
          <w:b/>
          <w:sz w:val="22"/>
          <w:szCs w:val="22"/>
        </w:rPr>
        <w:t>under</w:t>
      </w:r>
      <w:proofErr w:type="gramEnd"/>
      <w:r w:rsidRPr="00CC0C88">
        <w:rPr>
          <w:rFonts w:ascii="Times New Roman" w:hAnsi="Times New Roman"/>
          <w:b/>
          <w:sz w:val="22"/>
          <w:szCs w:val="22"/>
        </w:rPr>
        <w:t xml:space="preserve"> the CGIAR </w:t>
      </w:r>
      <w:r w:rsidRPr="00CC0C88">
        <w:rPr>
          <w:rFonts w:ascii="Times New Roman" w:hAnsi="Times New Roman"/>
          <w:b/>
          <w:iCs/>
          <w:color w:val="000000"/>
          <w:sz w:val="22"/>
          <w:szCs w:val="22"/>
        </w:rPr>
        <w:t xml:space="preserve">Principles </w:t>
      </w:r>
      <w:r>
        <w:rPr>
          <w:rFonts w:ascii="Times New Roman" w:hAnsi="Times New Roman"/>
          <w:b/>
          <w:iCs/>
          <w:color w:val="000000"/>
          <w:sz w:val="22"/>
          <w:szCs w:val="22"/>
        </w:rPr>
        <w:t xml:space="preserve">on the Management of Intellectual Assets </w:t>
      </w:r>
      <w:r w:rsidRPr="00CC0C88">
        <w:rPr>
          <w:rFonts w:ascii="Times New Roman" w:hAnsi="Times New Roman"/>
          <w:b/>
          <w:iCs/>
          <w:color w:val="000000"/>
          <w:sz w:val="22"/>
          <w:szCs w:val="22"/>
        </w:rPr>
        <w:t>(Principles)</w:t>
      </w:r>
    </w:p>
    <w:p w:rsidR="006F3859" w:rsidRPr="00CC0C88" w:rsidRDefault="006F3859" w:rsidP="006F3859">
      <w:pPr>
        <w:jc w:val="center"/>
        <w:rPr>
          <w:rFonts w:ascii="Times New Roman" w:hAnsi="Times New Roman"/>
          <w:b/>
          <w:sz w:val="22"/>
          <w:szCs w:val="22"/>
        </w:rPr>
      </w:pPr>
      <w:proofErr w:type="gramStart"/>
      <w:r w:rsidRPr="00CC0C88">
        <w:rPr>
          <w:rFonts w:ascii="Times New Roman" w:hAnsi="Times New Roman"/>
          <w:b/>
          <w:color w:val="000000"/>
          <w:sz w:val="22"/>
          <w:szCs w:val="22"/>
        </w:rPr>
        <w:t>a</w:t>
      </w:r>
      <w:bookmarkStart w:id="0" w:name="_GoBack"/>
      <w:bookmarkEnd w:id="0"/>
      <w:r w:rsidRPr="00CC0C88">
        <w:rPr>
          <w:rFonts w:ascii="Times New Roman" w:hAnsi="Times New Roman"/>
          <w:b/>
          <w:color w:val="000000"/>
          <w:sz w:val="22"/>
          <w:szCs w:val="22"/>
        </w:rPr>
        <w:t>nd</w:t>
      </w:r>
      <w:proofErr w:type="gramEnd"/>
      <w:r w:rsidRPr="00CC0C88">
        <w:rPr>
          <w:rFonts w:ascii="Times New Roman" w:hAnsi="Times New Roman"/>
          <w:b/>
          <w:color w:val="000000"/>
          <w:sz w:val="22"/>
          <w:szCs w:val="22"/>
        </w:rPr>
        <w:t xml:space="preserve"> their Implementation Guidelines (IG)</w:t>
      </w:r>
    </w:p>
    <w:p w:rsidR="006F3859" w:rsidRPr="00CC0C88" w:rsidRDefault="006F3859" w:rsidP="006F3859">
      <w:pPr>
        <w:rPr>
          <w:rFonts w:ascii="Times New Roman" w:hAnsi="Times New Roman"/>
          <w:b/>
          <w:sz w:val="22"/>
          <w:szCs w:val="22"/>
        </w:rPr>
      </w:pPr>
    </w:p>
    <w:p w:rsidR="006F3859" w:rsidRPr="00CC0C88" w:rsidRDefault="006F3859" w:rsidP="006F3859">
      <w:pPr>
        <w:rPr>
          <w:rFonts w:ascii="Times New Roman" w:hAnsi="Times New Roman"/>
          <w:b/>
          <w:sz w:val="22"/>
          <w:szCs w:val="22"/>
        </w:rPr>
      </w:pPr>
    </w:p>
    <w:tbl>
      <w:tblPr>
        <w:tblStyle w:val="TableGrid"/>
        <w:tblW w:w="14176" w:type="dxa"/>
        <w:jc w:val="center"/>
        <w:tblInd w:w="-1400" w:type="dxa"/>
        <w:tblLayout w:type="fixed"/>
        <w:tblLook w:val="04A0"/>
      </w:tblPr>
      <w:tblGrid>
        <w:gridCol w:w="11307"/>
        <w:gridCol w:w="1842"/>
        <w:gridCol w:w="1027"/>
      </w:tblGrid>
      <w:tr w:rsidR="006F3859" w:rsidRPr="002F3AFE" w:rsidTr="00763A52">
        <w:trPr>
          <w:trHeight w:val="273"/>
          <w:jc w:val="center"/>
        </w:trPr>
        <w:tc>
          <w:tcPr>
            <w:tcW w:w="11307" w:type="dxa"/>
            <w:shd w:val="clear" w:color="auto" w:fill="C2D69B" w:themeFill="accent3" w:themeFillTint="99"/>
          </w:tcPr>
          <w:p w:rsidR="006F3859" w:rsidRPr="002F3AFE" w:rsidRDefault="006F3859" w:rsidP="006F3859">
            <w:pPr>
              <w:rPr>
                <w:rFonts w:ascii="Times New Roman" w:hAnsi="Times New Roman"/>
                <w:b/>
                <w:sz w:val="22"/>
                <w:szCs w:val="22"/>
              </w:rPr>
            </w:pPr>
            <w:r w:rsidRPr="002F3AFE">
              <w:rPr>
                <w:rFonts w:ascii="Times New Roman" w:hAnsi="Times New Roman"/>
                <w:b/>
                <w:sz w:val="22"/>
                <w:szCs w:val="22"/>
              </w:rPr>
              <w:t>Centers must follow appropriate internal procedures to ensure the following:</w:t>
            </w:r>
          </w:p>
          <w:p w:rsidR="006F3859" w:rsidRPr="002F3AFE" w:rsidRDefault="006F3859" w:rsidP="00BB1AC2">
            <w:pPr>
              <w:rPr>
                <w:rFonts w:ascii="Times New Roman" w:hAnsi="Times New Roman"/>
                <w:b/>
                <w:sz w:val="22"/>
                <w:szCs w:val="22"/>
              </w:rPr>
            </w:pPr>
          </w:p>
        </w:tc>
        <w:tc>
          <w:tcPr>
            <w:tcW w:w="1842" w:type="dxa"/>
            <w:shd w:val="clear" w:color="auto" w:fill="C2D69B" w:themeFill="accent3" w:themeFillTint="99"/>
          </w:tcPr>
          <w:p w:rsidR="006F3859" w:rsidRPr="002F3AFE" w:rsidRDefault="006F3859" w:rsidP="00BB1AC2">
            <w:pPr>
              <w:ind w:right="-108"/>
              <w:rPr>
                <w:rFonts w:ascii="Times New Roman" w:hAnsi="Times New Roman"/>
                <w:b/>
                <w:sz w:val="22"/>
                <w:szCs w:val="22"/>
              </w:rPr>
            </w:pPr>
            <w:r w:rsidRPr="002F3AFE">
              <w:rPr>
                <w:rFonts w:ascii="Times New Roman" w:hAnsi="Times New Roman"/>
                <w:b/>
                <w:sz w:val="22"/>
                <w:szCs w:val="22"/>
              </w:rPr>
              <w:t>Article</w:t>
            </w:r>
          </w:p>
        </w:tc>
        <w:tc>
          <w:tcPr>
            <w:tcW w:w="1027" w:type="dxa"/>
            <w:shd w:val="clear" w:color="auto" w:fill="C2D69B" w:themeFill="accent3" w:themeFillTint="99"/>
          </w:tcPr>
          <w:p w:rsidR="006F3859" w:rsidRPr="002F3AFE" w:rsidRDefault="006F3859" w:rsidP="00BB1AC2">
            <w:pPr>
              <w:ind w:left="-108" w:right="-74"/>
              <w:rPr>
                <w:rFonts w:ascii="Times New Roman" w:hAnsi="Times New Roman"/>
                <w:b/>
                <w:sz w:val="22"/>
                <w:szCs w:val="22"/>
              </w:rPr>
            </w:pPr>
            <w:r w:rsidRPr="002F3AFE">
              <w:rPr>
                <w:rFonts w:ascii="Times New Roman" w:hAnsi="Times New Roman"/>
                <w:b/>
                <w:sz w:val="22"/>
                <w:szCs w:val="22"/>
              </w:rPr>
              <w:t>Complied with</w:t>
            </w:r>
          </w:p>
        </w:tc>
      </w:tr>
      <w:tr w:rsidR="006F3859" w:rsidRPr="002F3AFE" w:rsidTr="00763A52">
        <w:trPr>
          <w:trHeight w:val="273"/>
          <w:jc w:val="center"/>
        </w:trPr>
        <w:tc>
          <w:tcPr>
            <w:tcW w:w="11307" w:type="dxa"/>
            <w:shd w:val="clear" w:color="auto" w:fill="D9D9D9" w:themeFill="background1" w:themeFillShade="D9"/>
          </w:tcPr>
          <w:p w:rsidR="006F3859" w:rsidRPr="002F3AFE" w:rsidRDefault="006F3859" w:rsidP="00BB1AC2">
            <w:pPr>
              <w:rPr>
                <w:rFonts w:ascii="Times New Roman" w:hAnsi="Times New Roman"/>
                <w:b/>
                <w:color w:val="0070C0"/>
                <w:sz w:val="22"/>
                <w:szCs w:val="22"/>
              </w:rPr>
            </w:pPr>
            <w:r w:rsidRPr="002F3AFE">
              <w:rPr>
                <w:rFonts w:ascii="Times New Roman" w:hAnsi="Times New Roman"/>
                <w:b/>
                <w:color w:val="0070C0"/>
                <w:sz w:val="22"/>
                <w:szCs w:val="22"/>
              </w:rPr>
              <w:t>1. Center IA policies, guidelines and practices</w:t>
            </w:r>
          </w:p>
        </w:tc>
        <w:tc>
          <w:tcPr>
            <w:tcW w:w="1842" w:type="dxa"/>
            <w:shd w:val="clear" w:color="auto" w:fill="D9D9D9" w:themeFill="background1" w:themeFillShade="D9"/>
          </w:tcPr>
          <w:p w:rsidR="006F3859" w:rsidRPr="002F3AFE" w:rsidRDefault="006F3859" w:rsidP="00BB1AC2">
            <w:pPr>
              <w:ind w:right="-108"/>
              <w:rPr>
                <w:rFonts w:ascii="Times New Roman" w:hAnsi="Times New Roman"/>
                <w:sz w:val="22"/>
                <w:szCs w:val="22"/>
              </w:rPr>
            </w:pPr>
          </w:p>
        </w:tc>
        <w:tc>
          <w:tcPr>
            <w:tcW w:w="1027" w:type="dxa"/>
            <w:shd w:val="clear" w:color="auto" w:fill="D9D9D9" w:themeFill="background1" w:themeFillShade="D9"/>
          </w:tcPr>
          <w:p w:rsidR="006F3859" w:rsidRPr="002F3AFE" w:rsidRDefault="006F3859" w:rsidP="00BB1AC2">
            <w:pPr>
              <w:rPr>
                <w:rFonts w:ascii="Times New Roman" w:hAnsi="Times New Roman"/>
                <w:b/>
                <w:sz w:val="22"/>
                <w:szCs w:val="22"/>
              </w:rPr>
            </w:pPr>
          </w:p>
        </w:tc>
      </w:tr>
      <w:tr w:rsidR="006F3859" w:rsidRPr="002F3AFE" w:rsidTr="00763A52">
        <w:trPr>
          <w:trHeight w:val="273"/>
          <w:jc w:val="center"/>
        </w:trPr>
        <w:tc>
          <w:tcPr>
            <w:tcW w:w="11307" w:type="dxa"/>
          </w:tcPr>
          <w:p w:rsidR="006F3859" w:rsidRPr="002F3AFE" w:rsidRDefault="006F3859" w:rsidP="00BB1AC2">
            <w:pPr>
              <w:jc w:val="both"/>
              <w:rPr>
                <w:rFonts w:ascii="Times New Roman" w:hAnsi="Times New Roman"/>
                <w:b/>
                <w:sz w:val="22"/>
                <w:szCs w:val="22"/>
              </w:rPr>
            </w:pPr>
            <w:r w:rsidRPr="002F3AFE">
              <w:rPr>
                <w:rFonts w:ascii="Times New Roman" w:hAnsi="Times New Roman"/>
                <w:color w:val="000000"/>
                <w:sz w:val="22"/>
                <w:szCs w:val="22"/>
              </w:rPr>
              <w:t xml:space="preserve">Are </w:t>
            </w:r>
            <w:r w:rsidRPr="002F3AFE">
              <w:rPr>
                <w:rFonts w:ascii="Times New Roman" w:hAnsi="Times New Roman"/>
                <w:b/>
                <w:color w:val="000000"/>
                <w:sz w:val="22"/>
                <w:szCs w:val="22"/>
              </w:rPr>
              <w:t>consistent with the Principles</w:t>
            </w:r>
            <w:r w:rsidRPr="002F3AFE">
              <w:rPr>
                <w:rFonts w:ascii="Times New Roman" w:hAnsi="Times New Roman"/>
                <w:color w:val="000000"/>
                <w:sz w:val="22"/>
                <w:szCs w:val="22"/>
              </w:rPr>
              <w:t xml:space="preserve"> (and therefore reviewed and updated when the Principles are amended)</w:t>
            </w:r>
          </w:p>
        </w:tc>
        <w:tc>
          <w:tcPr>
            <w:tcW w:w="1842" w:type="dxa"/>
          </w:tcPr>
          <w:p w:rsidR="006F3859" w:rsidRPr="002F3AFE" w:rsidRDefault="006F3859" w:rsidP="00BB1AC2">
            <w:pPr>
              <w:ind w:right="-108"/>
              <w:rPr>
                <w:rFonts w:ascii="Times New Roman" w:hAnsi="Times New Roman"/>
                <w:sz w:val="22"/>
                <w:szCs w:val="22"/>
              </w:rPr>
            </w:pPr>
            <w:r w:rsidRPr="002F3AFE">
              <w:rPr>
                <w:rFonts w:ascii="Times New Roman" w:hAnsi="Times New Roman"/>
                <w:sz w:val="22"/>
                <w:szCs w:val="22"/>
              </w:rPr>
              <w:t>Art 9.2 Principles; Art 5 k) IG</w:t>
            </w:r>
          </w:p>
        </w:tc>
        <w:tc>
          <w:tcPr>
            <w:tcW w:w="1027" w:type="dxa"/>
          </w:tcPr>
          <w:p w:rsidR="006F3859" w:rsidRPr="002F3AFE" w:rsidRDefault="006F3859" w:rsidP="00BB1AC2">
            <w:pPr>
              <w:rPr>
                <w:rFonts w:ascii="Times New Roman" w:hAnsi="Times New Roman"/>
                <w:b/>
                <w:sz w:val="22"/>
                <w:szCs w:val="22"/>
              </w:rPr>
            </w:pPr>
          </w:p>
        </w:tc>
      </w:tr>
      <w:tr w:rsidR="006F3859" w:rsidRPr="002F3AFE" w:rsidTr="00763A52">
        <w:trPr>
          <w:trHeight w:val="273"/>
          <w:jc w:val="center"/>
        </w:trPr>
        <w:tc>
          <w:tcPr>
            <w:tcW w:w="11307" w:type="dxa"/>
          </w:tcPr>
          <w:p w:rsidR="006F3859" w:rsidRPr="002F3AFE" w:rsidRDefault="006F3859" w:rsidP="00BB1AC2">
            <w:pPr>
              <w:rPr>
                <w:rFonts w:ascii="Times New Roman" w:hAnsi="Times New Roman"/>
                <w:b/>
                <w:sz w:val="22"/>
                <w:szCs w:val="22"/>
              </w:rPr>
            </w:pPr>
            <w:r w:rsidRPr="002F3AFE">
              <w:rPr>
                <w:rFonts w:ascii="Times New Roman" w:hAnsi="Times New Roman"/>
                <w:color w:val="000000"/>
                <w:sz w:val="22"/>
                <w:szCs w:val="22"/>
              </w:rPr>
              <w:t xml:space="preserve">Are made </w:t>
            </w:r>
            <w:r w:rsidRPr="002F3AFE">
              <w:rPr>
                <w:rFonts w:ascii="Times New Roman" w:hAnsi="Times New Roman"/>
                <w:b/>
                <w:color w:val="000000"/>
                <w:sz w:val="22"/>
                <w:szCs w:val="22"/>
              </w:rPr>
              <w:t>publically available</w:t>
            </w:r>
          </w:p>
        </w:tc>
        <w:tc>
          <w:tcPr>
            <w:tcW w:w="1842" w:type="dxa"/>
          </w:tcPr>
          <w:p w:rsidR="006F3859" w:rsidRPr="002F3AFE" w:rsidRDefault="006F3859" w:rsidP="00BB1AC2">
            <w:pPr>
              <w:ind w:right="-108"/>
              <w:rPr>
                <w:rFonts w:ascii="Times New Roman" w:hAnsi="Times New Roman"/>
                <w:sz w:val="22"/>
                <w:szCs w:val="22"/>
              </w:rPr>
            </w:pPr>
            <w:r w:rsidRPr="002F3AFE">
              <w:rPr>
                <w:rFonts w:ascii="Times New Roman" w:hAnsi="Times New Roman"/>
                <w:sz w:val="22"/>
                <w:szCs w:val="22"/>
              </w:rPr>
              <w:t>Art 9.2 Principles; Art 5 k) IG</w:t>
            </w:r>
          </w:p>
        </w:tc>
        <w:tc>
          <w:tcPr>
            <w:tcW w:w="1027" w:type="dxa"/>
          </w:tcPr>
          <w:p w:rsidR="006F3859" w:rsidRPr="002F3AFE" w:rsidRDefault="006F3859" w:rsidP="00BB1AC2">
            <w:pPr>
              <w:rPr>
                <w:rFonts w:ascii="Times New Roman" w:hAnsi="Times New Roman"/>
                <w:b/>
                <w:sz w:val="22"/>
                <w:szCs w:val="22"/>
              </w:rPr>
            </w:pPr>
          </w:p>
        </w:tc>
      </w:tr>
      <w:tr w:rsidR="006F3859" w:rsidRPr="002F3AFE" w:rsidTr="00763A52">
        <w:trPr>
          <w:trHeight w:val="273"/>
          <w:jc w:val="center"/>
        </w:trPr>
        <w:tc>
          <w:tcPr>
            <w:tcW w:w="11307" w:type="dxa"/>
            <w:shd w:val="clear" w:color="auto" w:fill="D9D9D9" w:themeFill="background1" w:themeFillShade="D9"/>
          </w:tcPr>
          <w:p w:rsidR="006F3859" w:rsidRPr="002F3AFE" w:rsidRDefault="006F3859" w:rsidP="00BB1AC2">
            <w:pPr>
              <w:rPr>
                <w:rFonts w:ascii="Times New Roman" w:hAnsi="Times New Roman"/>
                <w:b/>
                <w:color w:val="000000"/>
                <w:sz w:val="22"/>
                <w:szCs w:val="22"/>
              </w:rPr>
            </w:pPr>
            <w:r w:rsidRPr="002F3AFE">
              <w:rPr>
                <w:rFonts w:ascii="Times New Roman" w:hAnsi="Times New Roman"/>
                <w:b/>
                <w:color w:val="0070C0"/>
                <w:sz w:val="22"/>
                <w:szCs w:val="22"/>
              </w:rPr>
              <w:t>2. Center agreements</w:t>
            </w:r>
            <w:r w:rsidRPr="002F3AFE">
              <w:rPr>
                <w:rFonts w:ascii="Times New Roman" w:hAnsi="Times New Roman"/>
                <w:b/>
                <w:color w:val="000000"/>
                <w:sz w:val="22"/>
                <w:szCs w:val="22"/>
              </w:rPr>
              <w:t xml:space="preserve"> </w:t>
            </w:r>
          </w:p>
        </w:tc>
        <w:tc>
          <w:tcPr>
            <w:tcW w:w="1842" w:type="dxa"/>
            <w:shd w:val="clear" w:color="auto" w:fill="D9D9D9" w:themeFill="background1" w:themeFillShade="D9"/>
          </w:tcPr>
          <w:p w:rsidR="006F3859" w:rsidRPr="002F3AFE" w:rsidRDefault="006F3859" w:rsidP="00BB1AC2">
            <w:pPr>
              <w:ind w:right="-108"/>
              <w:rPr>
                <w:rFonts w:ascii="Times New Roman" w:hAnsi="Times New Roman"/>
                <w:sz w:val="22"/>
                <w:szCs w:val="22"/>
              </w:rPr>
            </w:pPr>
          </w:p>
        </w:tc>
        <w:tc>
          <w:tcPr>
            <w:tcW w:w="1027" w:type="dxa"/>
            <w:shd w:val="clear" w:color="auto" w:fill="D9D9D9" w:themeFill="background1" w:themeFillShade="D9"/>
          </w:tcPr>
          <w:p w:rsidR="006F3859" w:rsidRPr="002F3AFE" w:rsidRDefault="006F3859" w:rsidP="00BB1AC2">
            <w:pPr>
              <w:rPr>
                <w:rFonts w:ascii="Times New Roman" w:hAnsi="Times New Roman"/>
                <w:b/>
                <w:sz w:val="22"/>
                <w:szCs w:val="22"/>
              </w:rPr>
            </w:pPr>
          </w:p>
        </w:tc>
      </w:tr>
      <w:tr w:rsidR="006F3859" w:rsidRPr="002F3AFE" w:rsidTr="00763A52">
        <w:trPr>
          <w:trHeight w:val="726"/>
          <w:jc w:val="center"/>
        </w:trPr>
        <w:tc>
          <w:tcPr>
            <w:tcW w:w="11307" w:type="dxa"/>
          </w:tcPr>
          <w:p w:rsidR="006F3859" w:rsidRPr="002F3AFE" w:rsidRDefault="006F3859" w:rsidP="00F74783">
            <w:pPr>
              <w:jc w:val="both"/>
              <w:rPr>
                <w:rFonts w:ascii="Times New Roman" w:hAnsi="Times New Roman"/>
                <w:b/>
                <w:sz w:val="22"/>
                <w:szCs w:val="22"/>
              </w:rPr>
            </w:pPr>
            <w:r w:rsidRPr="002F3AFE">
              <w:rPr>
                <w:rFonts w:ascii="Times New Roman" w:hAnsi="Times New Roman"/>
                <w:color w:val="000000"/>
                <w:sz w:val="22"/>
                <w:szCs w:val="22"/>
              </w:rPr>
              <w:t xml:space="preserve">All agreements involving IAs </w:t>
            </w:r>
            <w:r w:rsidRPr="002F3AFE">
              <w:rPr>
                <w:rFonts w:ascii="Times New Roman" w:hAnsi="Times New Roman"/>
                <w:b/>
                <w:color w:val="000000"/>
                <w:sz w:val="22"/>
                <w:szCs w:val="22"/>
              </w:rPr>
              <w:t>concluded after March 7 2012</w:t>
            </w:r>
            <w:r w:rsidRPr="002F3AFE">
              <w:rPr>
                <w:rFonts w:ascii="Times New Roman" w:hAnsi="Times New Roman"/>
                <w:color w:val="000000"/>
                <w:sz w:val="22"/>
                <w:szCs w:val="22"/>
              </w:rPr>
              <w:t xml:space="preserve"> </w:t>
            </w:r>
            <w:r w:rsidR="00F74783" w:rsidRPr="002F3AFE">
              <w:rPr>
                <w:rFonts w:ascii="Times New Roman" w:hAnsi="Times New Roman"/>
                <w:color w:val="000000"/>
                <w:sz w:val="22"/>
                <w:szCs w:val="22"/>
              </w:rPr>
              <w:t xml:space="preserve">(and any amendment,  renewals, or extensions involving new funding) </w:t>
            </w:r>
            <w:r w:rsidRPr="002F3AFE">
              <w:rPr>
                <w:rFonts w:ascii="Times New Roman" w:hAnsi="Times New Roman"/>
                <w:color w:val="000000"/>
                <w:sz w:val="22"/>
                <w:szCs w:val="22"/>
              </w:rPr>
              <w:t>comply with the CGIAR IA Principles, i.e. must maximize global accessibility of Intellectual Assets (IAs) and/or ensure that they lead to the broadest possible impact</w:t>
            </w:r>
          </w:p>
        </w:tc>
        <w:tc>
          <w:tcPr>
            <w:tcW w:w="1842" w:type="dxa"/>
          </w:tcPr>
          <w:p w:rsidR="006F3859" w:rsidRPr="002F3AFE" w:rsidRDefault="006F3859" w:rsidP="00BB1AC2">
            <w:pPr>
              <w:ind w:right="-108"/>
              <w:rPr>
                <w:rFonts w:ascii="Times New Roman" w:hAnsi="Times New Roman"/>
                <w:sz w:val="22"/>
                <w:szCs w:val="22"/>
              </w:rPr>
            </w:pPr>
            <w:r w:rsidRPr="002F3AFE">
              <w:rPr>
                <w:rFonts w:ascii="Times New Roman" w:hAnsi="Times New Roman"/>
                <w:sz w:val="22"/>
                <w:szCs w:val="22"/>
              </w:rPr>
              <w:t>Art 5, Art 6 and 9.1 Principles; Art 5 a) IG</w:t>
            </w:r>
          </w:p>
        </w:tc>
        <w:tc>
          <w:tcPr>
            <w:tcW w:w="1027" w:type="dxa"/>
          </w:tcPr>
          <w:p w:rsidR="006F3859" w:rsidRPr="002F3AFE" w:rsidRDefault="006F3859" w:rsidP="00BB1AC2">
            <w:pPr>
              <w:rPr>
                <w:rFonts w:ascii="Times New Roman" w:hAnsi="Times New Roman"/>
                <w:b/>
                <w:sz w:val="22"/>
                <w:szCs w:val="22"/>
              </w:rPr>
            </w:pPr>
          </w:p>
        </w:tc>
      </w:tr>
      <w:tr w:rsidR="006F3859" w:rsidRPr="002F3AFE" w:rsidTr="00763A52">
        <w:trPr>
          <w:trHeight w:val="273"/>
          <w:jc w:val="center"/>
        </w:trPr>
        <w:tc>
          <w:tcPr>
            <w:tcW w:w="11307" w:type="dxa"/>
          </w:tcPr>
          <w:p w:rsidR="006F3859" w:rsidRPr="002F3AFE" w:rsidRDefault="006F3859" w:rsidP="00BB1AC2">
            <w:pPr>
              <w:jc w:val="both"/>
              <w:rPr>
                <w:rFonts w:ascii="Times New Roman" w:hAnsi="Times New Roman"/>
                <w:color w:val="000000"/>
                <w:sz w:val="22"/>
                <w:szCs w:val="22"/>
              </w:rPr>
            </w:pPr>
            <w:r w:rsidRPr="002F3AFE">
              <w:rPr>
                <w:rFonts w:ascii="Times New Roman" w:hAnsi="Times New Roman"/>
                <w:color w:val="000000"/>
                <w:sz w:val="22"/>
                <w:szCs w:val="22"/>
              </w:rPr>
              <w:t>Relevant agreements</w:t>
            </w:r>
            <w:r w:rsidR="009D3EA1" w:rsidRPr="002F3AFE">
              <w:rPr>
                <w:rStyle w:val="FootnoteReference"/>
                <w:rFonts w:ascii="Times New Roman" w:hAnsi="Times New Roman"/>
                <w:color w:val="000000"/>
                <w:sz w:val="22"/>
                <w:szCs w:val="22"/>
              </w:rPr>
              <w:footnoteReference w:id="1"/>
            </w:r>
            <w:r w:rsidRPr="002F3AFE">
              <w:rPr>
                <w:rFonts w:ascii="Times New Roman" w:hAnsi="Times New Roman"/>
                <w:color w:val="000000"/>
                <w:sz w:val="22"/>
                <w:szCs w:val="22"/>
              </w:rPr>
              <w:t xml:space="preserve"> provide for the </w:t>
            </w:r>
            <w:r w:rsidRPr="002F3AFE">
              <w:rPr>
                <w:rFonts w:ascii="Times New Roman" w:hAnsi="Times New Roman"/>
                <w:b/>
                <w:color w:val="000000"/>
                <w:sz w:val="22"/>
                <w:szCs w:val="22"/>
              </w:rPr>
              <w:t>prompt and broad dissemination of research results</w:t>
            </w:r>
            <w:r w:rsidRPr="002F3AFE">
              <w:rPr>
                <w:rFonts w:ascii="Times New Roman" w:hAnsi="Times New Roman"/>
                <w:color w:val="000000"/>
                <w:sz w:val="22"/>
                <w:szCs w:val="22"/>
              </w:rPr>
              <w:t xml:space="preserve"> (</w:t>
            </w:r>
            <w:r w:rsidRPr="002F3AFE">
              <w:rPr>
                <w:rFonts w:ascii="Times New Roman" w:hAnsi="Times New Roman"/>
                <w:sz w:val="22"/>
                <w:szCs w:val="22"/>
              </w:rPr>
              <w:t>subject to confidentiality obligations… or  subject to limited delays to seek IP Rights)</w:t>
            </w:r>
          </w:p>
        </w:tc>
        <w:tc>
          <w:tcPr>
            <w:tcW w:w="1842" w:type="dxa"/>
          </w:tcPr>
          <w:p w:rsidR="006F3859" w:rsidRPr="002F3AFE" w:rsidRDefault="006F3859" w:rsidP="00BB1AC2">
            <w:pPr>
              <w:ind w:right="-108"/>
              <w:rPr>
                <w:rFonts w:ascii="Times New Roman" w:hAnsi="Times New Roman"/>
                <w:sz w:val="22"/>
                <w:szCs w:val="22"/>
              </w:rPr>
            </w:pPr>
            <w:r w:rsidRPr="002F3AFE">
              <w:rPr>
                <w:rFonts w:ascii="Times New Roman" w:hAnsi="Times New Roman"/>
                <w:sz w:val="22"/>
                <w:szCs w:val="22"/>
              </w:rPr>
              <w:t>Art 6.1 Principles</w:t>
            </w:r>
          </w:p>
        </w:tc>
        <w:tc>
          <w:tcPr>
            <w:tcW w:w="1027" w:type="dxa"/>
          </w:tcPr>
          <w:p w:rsidR="006F3859" w:rsidRPr="002F3AFE" w:rsidRDefault="006F3859" w:rsidP="00BB1AC2">
            <w:pPr>
              <w:rPr>
                <w:rFonts w:ascii="Times New Roman" w:hAnsi="Times New Roman"/>
                <w:b/>
                <w:sz w:val="22"/>
                <w:szCs w:val="22"/>
              </w:rPr>
            </w:pPr>
          </w:p>
        </w:tc>
      </w:tr>
      <w:tr w:rsidR="006F3859" w:rsidRPr="002F3AFE" w:rsidTr="00763A52">
        <w:trPr>
          <w:trHeight w:val="273"/>
          <w:jc w:val="center"/>
        </w:trPr>
        <w:tc>
          <w:tcPr>
            <w:tcW w:w="11307" w:type="dxa"/>
          </w:tcPr>
          <w:p w:rsidR="006F3859" w:rsidRPr="002F3AFE" w:rsidRDefault="006F3859" w:rsidP="00BB1AC2">
            <w:pPr>
              <w:rPr>
                <w:rFonts w:ascii="Times New Roman" w:hAnsi="Times New Roman"/>
                <w:sz w:val="22"/>
                <w:szCs w:val="22"/>
              </w:rPr>
            </w:pPr>
            <w:r w:rsidRPr="002F3AFE">
              <w:rPr>
                <w:rFonts w:ascii="Times New Roman" w:hAnsi="Times New Roman"/>
                <w:b/>
                <w:sz w:val="22"/>
                <w:szCs w:val="22"/>
              </w:rPr>
              <w:t>Limited Exclusivity Agreements</w:t>
            </w:r>
            <w:r w:rsidRPr="002F3AFE">
              <w:rPr>
                <w:rFonts w:ascii="Times New Roman" w:hAnsi="Times New Roman"/>
                <w:sz w:val="22"/>
                <w:szCs w:val="22"/>
              </w:rPr>
              <w:t xml:space="preserve"> (as defined in the Principles) comply with the requirements of Art 6.2 of the Principles</w:t>
            </w:r>
          </w:p>
        </w:tc>
        <w:tc>
          <w:tcPr>
            <w:tcW w:w="1842" w:type="dxa"/>
          </w:tcPr>
          <w:p w:rsidR="006F3859" w:rsidRPr="002F3AFE" w:rsidRDefault="006F3859" w:rsidP="00BB1AC2">
            <w:pPr>
              <w:ind w:right="-108"/>
              <w:rPr>
                <w:rFonts w:ascii="Times New Roman" w:hAnsi="Times New Roman"/>
                <w:sz w:val="22"/>
                <w:szCs w:val="22"/>
              </w:rPr>
            </w:pPr>
            <w:r w:rsidRPr="002F3AFE">
              <w:rPr>
                <w:rFonts w:ascii="Times New Roman" w:hAnsi="Times New Roman"/>
                <w:sz w:val="22"/>
                <w:szCs w:val="22"/>
              </w:rPr>
              <w:t>Art 6.2 Principles</w:t>
            </w:r>
          </w:p>
        </w:tc>
        <w:tc>
          <w:tcPr>
            <w:tcW w:w="1027" w:type="dxa"/>
          </w:tcPr>
          <w:p w:rsidR="006F3859" w:rsidRPr="002F3AFE" w:rsidRDefault="006F3859" w:rsidP="00BB1AC2">
            <w:pPr>
              <w:rPr>
                <w:rFonts w:ascii="Times New Roman" w:hAnsi="Times New Roman"/>
                <w:b/>
                <w:sz w:val="22"/>
                <w:szCs w:val="22"/>
              </w:rPr>
            </w:pPr>
          </w:p>
        </w:tc>
      </w:tr>
      <w:tr w:rsidR="006F3859" w:rsidRPr="002F3AFE" w:rsidTr="00763A52">
        <w:trPr>
          <w:trHeight w:val="273"/>
          <w:jc w:val="center"/>
        </w:trPr>
        <w:tc>
          <w:tcPr>
            <w:tcW w:w="11307" w:type="dxa"/>
          </w:tcPr>
          <w:p w:rsidR="006F3859" w:rsidRPr="002F3AFE" w:rsidRDefault="006F3859" w:rsidP="00BB1AC2">
            <w:pPr>
              <w:rPr>
                <w:rFonts w:ascii="Times New Roman" w:hAnsi="Times New Roman"/>
                <w:sz w:val="22"/>
                <w:szCs w:val="22"/>
              </w:rPr>
            </w:pPr>
            <w:r w:rsidRPr="002F3AFE">
              <w:rPr>
                <w:rFonts w:ascii="Times New Roman" w:hAnsi="Times New Roman"/>
                <w:b/>
                <w:sz w:val="22"/>
                <w:szCs w:val="22"/>
              </w:rPr>
              <w:t>Restricted Use Agreements</w:t>
            </w:r>
            <w:r w:rsidRPr="002F3AFE">
              <w:rPr>
                <w:rFonts w:ascii="Times New Roman" w:hAnsi="Times New Roman"/>
                <w:sz w:val="22"/>
                <w:szCs w:val="22"/>
              </w:rPr>
              <w:t xml:space="preserve"> (as defined in the Principles) comply with the requirements of Art. 6.3 of the Principles</w:t>
            </w:r>
          </w:p>
        </w:tc>
        <w:tc>
          <w:tcPr>
            <w:tcW w:w="1842" w:type="dxa"/>
          </w:tcPr>
          <w:p w:rsidR="006F3859" w:rsidRPr="002F3AFE" w:rsidRDefault="006F3859" w:rsidP="00BB1AC2">
            <w:pPr>
              <w:ind w:right="-108"/>
              <w:rPr>
                <w:rFonts w:ascii="Times New Roman" w:hAnsi="Times New Roman"/>
                <w:sz w:val="22"/>
                <w:szCs w:val="22"/>
              </w:rPr>
            </w:pPr>
            <w:r w:rsidRPr="002F3AFE">
              <w:rPr>
                <w:rFonts w:ascii="Times New Roman" w:hAnsi="Times New Roman"/>
                <w:sz w:val="22"/>
                <w:szCs w:val="22"/>
              </w:rPr>
              <w:t>Art 6.3 Principles</w:t>
            </w:r>
          </w:p>
        </w:tc>
        <w:tc>
          <w:tcPr>
            <w:tcW w:w="1027" w:type="dxa"/>
          </w:tcPr>
          <w:p w:rsidR="006F3859" w:rsidRPr="002F3AFE" w:rsidRDefault="006F3859" w:rsidP="00BB1AC2">
            <w:pPr>
              <w:rPr>
                <w:rFonts w:ascii="Times New Roman" w:hAnsi="Times New Roman"/>
                <w:b/>
                <w:sz w:val="22"/>
                <w:szCs w:val="22"/>
              </w:rPr>
            </w:pPr>
          </w:p>
        </w:tc>
      </w:tr>
      <w:tr w:rsidR="006F3859" w:rsidRPr="002F3AFE" w:rsidTr="00763A52">
        <w:trPr>
          <w:trHeight w:val="273"/>
          <w:jc w:val="center"/>
        </w:trPr>
        <w:tc>
          <w:tcPr>
            <w:tcW w:w="11307" w:type="dxa"/>
          </w:tcPr>
          <w:p w:rsidR="006F3859" w:rsidRPr="002F3AFE" w:rsidRDefault="006F3859" w:rsidP="00BB1AC2">
            <w:pPr>
              <w:rPr>
                <w:rFonts w:ascii="Times New Roman" w:hAnsi="Times New Roman"/>
                <w:sz w:val="22"/>
                <w:szCs w:val="22"/>
              </w:rPr>
            </w:pPr>
            <w:r w:rsidRPr="002F3AFE">
              <w:rPr>
                <w:rFonts w:ascii="Times New Roman" w:hAnsi="Times New Roman"/>
                <w:sz w:val="22"/>
                <w:szCs w:val="22"/>
              </w:rPr>
              <w:t xml:space="preserve">The </w:t>
            </w:r>
            <w:r w:rsidRPr="002F3AFE">
              <w:rPr>
                <w:rFonts w:ascii="Times New Roman" w:hAnsi="Times New Roman"/>
                <w:b/>
                <w:sz w:val="22"/>
                <w:szCs w:val="22"/>
              </w:rPr>
              <w:t>Standard Material Transfer Agreement</w:t>
            </w:r>
            <w:r w:rsidRPr="002F3AFE">
              <w:rPr>
                <w:rFonts w:ascii="Times New Roman" w:hAnsi="Times New Roman"/>
                <w:sz w:val="22"/>
                <w:szCs w:val="22"/>
              </w:rPr>
              <w:t xml:space="preserve"> (SMTA) is used in the cases listed in the IG under Art. 4 a)) and such transfers reported to the Governing Body of the  International Treaty</w:t>
            </w:r>
          </w:p>
        </w:tc>
        <w:tc>
          <w:tcPr>
            <w:tcW w:w="1842" w:type="dxa"/>
          </w:tcPr>
          <w:p w:rsidR="006F3859" w:rsidRPr="002F3AFE" w:rsidRDefault="006F3859" w:rsidP="00BB1AC2">
            <w:pPr>
              <w:ind w:right="-108"/>
              <w:rPr>
                <w:rFonts w:ascii="Times New Roman" w:hAnsi="Times New Roman"/>
                <w:sz w:val="22"/>
                <w:szCs w:val="22"/>
              </w:rPr>
            </w:pPr>
            <w:r w:rsidRPr="002F3AFE">
              <w:rPr>
                <w:rFonts w:ascii="Times New Roman" w:hAnsi="Times New Roman"/>
                <w:sz w:val="22"/>
                <w:szCs w:val="22"/>
              </w:rPr>
              <w:t xml:space="preserve">Art 4 a) IG </w:t>
            </w:r>
          </w:p>
        </w:tc>
        <w:tc>
          <w:tcPr>
            <w:tcW w:w="1027" w:type="dxa"/>
          </w:tcPr>
          <w:p w:rsidR="006F3859" w:rsidRPr="002F3AFE" w:rsidRDefault="006F3859" w:rsidP="00BB1AC2">
            <w:pPr>
              <w:rPr>
                <w:rFonts w:ascii="Times New Roman" w:hAnsi="Times New Roman"/>
                <w:b/>
                <w:sz w:val="22"/>
                <w:szCs w:val="22"/>
              </w:rPr>
            </w:pPr>
          </w:p>
        </w:tc>
      </w:tr>
      <w:tr w:rsidR="006F3859" w:rsidRPr="002F3AFE" w:rsidTr="00763A52">
        <w:trPr>
          <w:trHeight w:val="273"/>
          <w:jc w:val="center"/>
        </w:trPr>
        <w:tc>
          <w:tcPr>
            <w:tcW w:w="11307" w:type="dxa"/>
          </w:tcPr>
          <w:p w:rsidR="006F3859" w:rsidRPr="002F3AFE" w:rsidRDefault="009D3EA1" w:rsidP="009D3EA1">
            <w:pPr>
              <w:rPr>
                <w:rFonts w:ascii="Times New Roman" w:hAnsi="Times New Roman"/>
                <w:sz w:val="22"/>
                <w:szCs w:val="22"/>
              </w:rPr>
            </w:pPr>
            <w:r w:rsidRPr="002F3AFE">
              <w:rPr>
                <w:rFonts w:ascii="Times New Roman" w:hAnsi="Times New Roman"/>
                <w:sz w:val="22"/>
                <w:szCs w:val="22"/>
              </w:rPr>
              <w:t>In a</w:t>
            </w:r>
            <w:r w:rsidR="006F3859" w:rsidRPr="002F3AFE">
              <w:rPr>
                <w:rFonts w:ascii="Times New Roman" w:hAnsi="Times New Roman"/>
                <w:sz w:val="22"/>
                <w:szCs w:val="22"/>
              </w:rPr>
              <w:t xml:space="preserve">greements that provide that Center charges </w:t>
            </w:r>
            <w:r w:rsidR="006F3859" w:rsidRPr="002F3AFE">
              <w:rPr>
                <w:rFonts w:ascii="Times New Roman" w:hAnsi="Times New Roman"/>
                <w:b/>
                <w:sz w:val="22"/>
                <w:szCs w:val="22"/>
              </w:rPr>
              <w:t>fees</w:t>
            </w:r>
            <w:r w:rsidR="006F3859" w:rsidRPr="002F3AFE">
              <w:rPr>
                <w:rFonts w:ascii="Times New Roman" w:hAnsi="Times New Roman"/>
                <w:sz w:val="22"/>
                <w:szCs w:val="22"/>
              </w:rPr>
              <w:t xml:space="preserve"> for providing access to IAs (except PGRFA held in trust and placed with</w:t>
            </w:r>
            <w:r w:rsidR="005B2D62" w:rsidRPr="002F3AFE">
              <w:rPr>
                <w:rFonts w:ascii="Times New Roman" w:hAnsi="Times New Roman"/>
                <w:sz w:val="22"/>
                <w:szCs w:val="22"/>
              </w:rPr>
              <w:t>in the</w:t>
            </w:r>
            <w:r w:rsidR="006F3859" w:rsidRPr="002F3AFE">
              <w:rPr>
                <w:rFonts w:ascii="Times New Roman" w:hAnsi="Times New Roman"/>
                <w:sz w:val="22"/>
                <w:szCs w:val="22"/>
              </w:rPr>
              <w:t xml:space="preserve"> purview of the International Treaty)</w:t>
            </w:r>
            <w:r w:rsidRPr="002F3AFE">
              <w:rPr>
                <w:rFonts w:ascii="Times New Roman" w:hAnsi="Times New Roman"/>
                <w:sz w:val="22"/>
                <w:szCs w:val="22"/>
              </w:rPr>
              <w:t xml:space="preserve">, the fees in question are </w:t>
            </w:r>
            <w:r w:rsidR="00E1030C" w:rsidRPr="002F3AFE">
              <w:rPr>
                <w:rFonts w:ascii="Times New Roman" w:hAnsi="Times New Roman"/>
                <w:sz w:val="22"/>
                <w:szCs w:val="22"/>
              </w:rPr>
              <w:t>reasonable</w:t>
            </w:r>
            <w:r w:rsidR="006F3859" w:rsidRPr="002F3AFE">
              <w:rPr>
                <w:rFonts w:ascii="Times New Roman" w:hAnsi="Times New Roman"/>
                <w:sz w:val="22"/>
                <w:szCs w:val="22"/>
              </w:rPr>
              <w:t xml:space="preserve"> </w:t>
            </w:r>
          </w:p>
        </w:tc>
        <w:tc>
          <w:tcPr>
            <w:tcW w:w="1842" w:type="dxa"/>
          </w:tcPr>
          <w:p w:rsidR="006F3859" w:rsidRPr="002F3AFE" w:rsidRDefault="006F3859" w:rsidP="00BB1AC2">
            <w:pPr>
              <w:ind w:right="-108"/>
              <w:rPr>
                <w:rFonts w:ascii="Times New Roman" w:hAnsi="Times New Roman"/>
                <w:sz w:val="22"/>
                <w:szCs w:val="22"/>
              </w:rPr>
            </w:pPr>
            <w:r w:rsidRPr="002F3AFE">
              <w:rPr>
                <w:rFonts w:ascii="Times New Roman" w:hAnsi="Times New Roman"/>
                <w:sz w:val="22"/>
                <w:szCs w:val="22"/>
              </w:rPr>
              <w:t>Art. 7 Principles and IG</w:t>
            </w:r>
          </w:p>
        </w:tc>
        <w:tc>
          <w:tcPr>
            <w:tcW w:w="1027" w:type="dxa"/>
          </w:tcPr>
          <w:p w:rsidR="006F3859" w:rsidRPr="002F3AFE" w:rsidRDefault="006F3859" w:rsidP="00BB1AC2">
            <w:pPr>
              <w:rPr>
                <w:rFonts w:ascii="Times New Roman" w:hAnsi="Times New Roman"/>
                <w:b/>
                <w:sz w:val="22"/>
                <w:szCs w:val="22"/>
              </w:rPr>
            </w:pPr>
          </w:p>
        </w:tc>
      </w:tr>
      <w:tr w:rsidR="006F3859" w:rsidRPr="002F3AFE" w:rsidTr="00763A52">
        <w:trPr>
          <w:trHeight w:val="273"/>
          <w:jc w:val="center"/>
        </w:trPr>
        <w:tc>
          <w:tcPr>
            <w:tcW w:w="11307" w:type="dxa"/>
          </w:tcPr>
          <w:p w:rsidR="006F3859" w:rsidRPr="002F3AFE" w:rsidRDefault="006F3859" w:rsidP="00BB1AC2">
            <w:pPr>
              <w:rPr>
                <w:rFonts w:ascii="Times New Roman" w:hAnsi="Times New Roman"/>
                <w:sz w:val="22"/>
                <w:szCs w:val="22"/>
              </w:rPr>
            </w:pPr>
            <w:r w:rsidRPr="002F3AFE">
              <w:rPr>
                <w:rFonts w:ascii="Times New Roman" w:hAnsi="Times New Roman"/>
                <w:b/>
                <w:sz w:val="22"/>
                <w:szCs w:val="22"/>
              </w:rPr>
              <w:t>Terms</w:t>
            </w:r>
            <w:r w:rsidRPr="002F3AFE">
              <w:rPr>
                <w:rFonts w:ascii="Times New Roman" w:hAnsi="Times New Roman"/>
                <w:sz w:val="22"/>
                <w:szCs w:val="22"/>
              </w:rPr>
              <w:t xml:space="preserve"> of agreements are understood, documented and complied with</w:t>
            </w:r>
          </w:p>
        </w:tc>
        <w:tc>
          <w:tcPr>
            <w:tcW w:w="1842" w:type="dxa"/>
          </w:tcPr>
          <w:p w:rsidR="006F3859" w:rsidRPr="002F3AFE" w:rsidRDefault="006F3859" w:rsidP="00BB1AC2">
            <w:pPr>
              <w:ind w:right="-108"/>
              <w:rPr>
                <w:rFonts w:ascii="Times New Roman" w:hAnsi="Times New Roman"/>
                <w:sz w:val="22"/>
                <w:szCs w:val="22"/>
              </w:rPr>
            </w:pPr>
            <w:r w:rsidRPr="002F3AFE">
              <w:rPr>
                <w:rFonts w:ascii="Times New Roman" w:hAnsi="Times New Roman"/>
                <w:sz w:val="22"/>
                <w:szCs w:val="22"/>
              </w:rPr>
              <w:t>Art 5 Principles and Art 5 b) and j) IG</w:t>
            </w:r>
          </w:p>
        </w:tc>
        <w:tc>
          <w:tcPr>
            <w:tcW w:w="1027" w:type="dxa"/>
          </w:tcPr>
          <w:p w:rsidR="006F3859" w:rsidRPr="002F3AFE" w:rsidRDefault="006F3859" w:rsidP="00BB1AC2">
            <w:pPr>
              <w:rPr>
                <w:rFonts w:ascii="Times New Roman" w:hAnsi="Times New Roman"/>
                <w:b/>
                <w:sz w:val="22"/>
                <w:szCs w:val="22"/>
              </w:rPr>
            </w:pPr>
          </w:p>
        </w:tc>
      </w:tr>
      <w:tr w:rsidR="006F3859" w:rsidRPr="002F3AFE" w:rsidTr="00763A52">
        <w:trPr>
          <w:trHeight w:val="273"/>
          <w:jc w:val="center"/>
        </w:trPr>
        <w:tc>
          <w:tcPr>
            <w:tcW w:w="11307" w:type="dxa"/>
            <w:shd w:val="clear" w:color="auto" w:fill="D9D9D9" w:themeFill="background1" w:themeFillShade="D9"/>
          </w:tcPr>
          <w:p w:rsidR="006F3859" w:rsidRPr="002F3AFE" w:rsidRDefault="006F3859" w:rsidP="00BB1AC2">
            <w:pPr>
              <w:rPr>
                <w:rFonts w:ascii="Times New Roman" w:hAnsi="Times New Roman"/>
                <w:sz w:val="22"/>
                <w:szCs w:val="22"/>
              </w:rPr>
            </w:pPr>
            <w:r w:rsidRPr="002F3AFE">
              <w:rPr>
                <w:rFonts w:ascii="Times New Roman" w:hAnsi="Times New Roman"/>
                <w:b/>
                <w:color w:val="0070C0"/>
                <w:sz w:val="22"/>
                <w:szCs w:val="22"/>
              </w:rPr>
              <w:t>3. IP Right Protection</w:t>
            </w:r>
          </w:p>
        </w:tc>
        <w:tc>
          <w:tcPr>
            <w:tcW w:w="1842" w:type="dxa"/>
            <w:shd w:val="clear" w:color="auto" w:fill="D9D9D9" w:themeFill="background1" w:themeFillShade="D9"/>
          </w:tcPr>
          <w:p w:rsidR="006F3859" w:rsidRPr="002F3AFE" w:rsidRDefault="006F3859" w:rsidP="00BB1AC2">
            <w:pPr>
              <w:ind w:right="-108"/>
              <w:rPr>
                <w:rFonts w:ascii="Times New Roman" w:hAnsi="Times New Roman"/>
                <w:sz w:val="22"/>
                <w:szCs w:val="22"/>
              </w:rPr>
            </w:pPr>
            <w:r w:rsidRPr="002F3AFE">
              <w:rPr>
                <w:rFonts w:ascii="Times New Roman" w:hAnsi="Times New Roman"/>
                <w:sz w:val="22"/>
                <w:szCs w:val="22"/>
              </w:rPr>
              <w:t>Art 6.4 Principles</w:t>
            </w:r>
          </w:p>
        </w:tc>
        <w:tc>
          <w:tcPr>
            <w:tcW w:w="1027" w:type="dxa"/>
            <w:shd w:val="clear" w:color="auto" w:fill="D9D9D9" w:themeFill="background1" w:themeFillShade="D9"/>
          </w:tcPr>
          <w:p w:rsidR="006F3859" w:rsidRPr="002F3AFE" w:rsidRDefault="006F3859" w:rsidP="00BB1AC2">
            <w:pPr>
              <w:rPr>
                <w:rFonts w:ascii="Times New Roman" w:hAnsi="Times New Roman"/>
                <w:b/>
                <w:sz w:val="22"/>
                <w:szCs w:val="22"/>
              </w:rPr>
            </w:pPr>
          </w:p>
        </w:tc>
      </w:tr>
      <w:tr w:rsidR="006F3859" w:rsidRPr="002F3AFE" w:rsidTr="00763A52">
        <w:trPr>
          <w:trHeight w:val="273"/>
          <w:jc w:val="center"/>
        </w:trPr>
        <w:tc>
          <w:tcPr>
            <w:tcW w:w="11307" w:type="dxa"/>
          </w:tcPr>
          <w:p w:rsidR="006F3859" w:rsidRPr="002F3AFE" w:rsidRDefault="006F3859" w:rsidP="00BB1AC2">
            <w:pPr>
              <w:rPr>
                <w:rFonts w:ascii="Times New Roman" w:hAnsi="Times New Roman"/>
                <w:sz w:val="22"/>
                <w:szCs w:val="22"/>
              </w:rPr>
            </w:pPr>
            <w:r w:rsidRPr="002F3AFE">
              <w:rPr>
                <w:rFonts w:ascii="Times New Roman" w:hAnsi="Times New Roman"/>
                <w:sz w:val="22"/>
                <w:szCs w:val="22"/>
              </w:rPr>
              <w:t xml:space="preserve">With regard to </w:t>
            </w:r>
            <w:r w:rsidRPr="002F3AFE">
              <w:rPr>
                <w:rFonts w:ascii="Times New Roman" w:hAnsi="Times New Roman"/>
                <w:b/>
                <w:sz w:val="22"/>
                <w:szCs w:val="22"/>
              </w:rPr>
              <w:t>IP rights that vest automatically</w:t>
            </w:r>
            <w:r w:rsidRPr="002F3AFE">
              <w:rPr>
                <w:rFonts w:ascii="Times New Roman" w:hAnsi="Times New Roman"/>
                <w:sz w:val="22"/>
                <w:szCs w:val="22"/>
              </w:rPr>
              <w:t xml:space="preserve"> (e.g. copyright, moral rights, database rights, etc.)</w:t>
            </w:r>
            <w:proofErr w:type="gramStart"/>
            <w:r w:rsidRPr="002F3AFE">
              <w:rPr>
                <w:rFonts w:ascii="Times New Roman" w:hAnsi="Times New Roman"/>
                <w:sz w:val="22"/>
                <w:szCs w:val="22"/>
              </w:rPr>
              <w:t>,</w:t>
            </w:r>
            <w:proofErr w:type="gramEnd"/>
            <w:r w:rsidRPr="002F3AFE">
              <w:rPr>
                <w:rFonts w:ascii="Times New Roman" w:hAnsi="Times New Roman"/>
                <w:sz w:val="22"/>
                <w:szCs w:val="22"/>
              </w:rPr>
              <w:t xml:space="preserve"> Center has asserted </w:t>
            </w:r>
            <w:r w:rsidRPr="002F3AFE">
              <w:rPr>
                <w:rFonts w:ascii="Times New Roman" w:hAnsi="Times New Roman"/>
                <w:sz w:val="22"/>
                <w:szCs w:val="22"/>
              </w:rPr>
              <w:lastRenderedPageBreak/>
              <w:t>them in a way that maximizes and preserves global access.</w:t>
            </w:r>
            <w:r w:rsidR="00C020BD" w:rsidRPr="002F3AFE">
              <w:rPr>
                <w:rFonts w:ascii="Times New Roman" w:hAnsi="Times New Roman"/>
                <w:sz w:val="22"/>
                <w:szCs w:val="22"/>
              </w:rPr>
              <w:t xml:space="preserve"> </w:t>
            </w:r>
          </w:p>
        </w:tc>
        <w:tc>
          <w:tcPr>
            <w:tcW w:w="1842" w:type="dxa"/>
          </w:tcPr>
          <w:p w:rsidR="006F3859" w:rsidRPr="002F3AFE" w:rsidRDefault="006F3859" w:rsidP="00BB1AC2">
            <w:pPr>
              <w:ind w:right="-108"/>
              <w:rPr>
                <w:rFonts w:ascii="Times New Roman" w:hAnsi="Times New Roman"/>
                <w:sz w:val="22"/>
                <w:szCs w:val="22"/>
              </w:rPr>
            </w:pPr>
            <w:r w:rsidRPr="002F3AFE">
              <w:rPr>
                <w:rFonts w:ascii="Times New Roman" w:hAnsi="Times New Roman"/>
                <w:sz w:val="22"/>
                <w:szCs w:val="22"/>
              </w:rPr>
              <w:lastRenderedPageBreak/>
              <w:t xml:space="preserve">Art. 6.4.1 </w:t>
            </w:r>
            <w:r w:rsidRPr="002F3AFE">
              <w:rPr>
                <w:rFonts w:ascii="Times New Roman" w:hAnsi="Times New Roman"/>
                <w:sz w:val="22"/>
                <w:szCs w:val="22"/>
              </w:rPr>
              <w:lastRenderedPageBreak/>
              <w:t>Principles and Art 6.4 a) IG</w:t>
            </w:r>
          </w:p>
        </w:tc>
        <w:tc>
          <w:tcPr>
            <w:tcW w:w="1027" w:type="dxa"/>
          </w:tcPr>
          <w:p w:rsidR="006F3859" w:rsidRPr="002F3AFE" w:rsidRDefault="006F3859" w:rsidP="00BB1AC2">
            <w:pPr>
              <w:rPr>
                <w:rFonts w:ascii="Times New Roman" w:hAnsi="Times New Roman"/>
                <w:b/>
                <w:sz w:val="22"/>
                <w:szCs w:val="22"/>
              </w:rPr>
            </w:pPr>
          </w:p>
        </w:tc>
      </w:tr>
      <w:tr w:rsidR="006F3859" w:rsidRPr="002F3AFE" w:rsidTr="00763A52">
        <w:trPr>
          <w:trHeight w:val="273"/>
          <w:jc w:val="center"/>
        </w:trPr>
        <w:tc>
          <w:tcPr>
            <w:tcW w:w="11307" w:type="dxa"/>
          </w:tcPr>
          <w:p w:rsidR="006F3859" w:rsidRPr="002F3AFE" w:rsidRDefault="006F3859" w:rsidP="00BB1AC2">
            <w:pPr>
              <w:rPr>
                <w:rFonts w:ascii="Times New Roman" w:hAnsi="Times New Roman"/>
                <w:sz w:val="22"/>
                <w:szCs w:val="22"/>
              </w:rPr>
            </w:pPr>
            <w:r w:rsidRPr="002F3AFE">
              <w:rPr>
                <w:rFonts w:ascii="Times New Roman" w:hAnsi="Times New Roman"/>
                <w:sz w:val="22"/>
                <w:szCs w:val="22"/>
              </w:rPr>
              <w:lastRenderedPageBreak/>
              <w:t xml:space="preserve">With regard to </w:t>
            </w:r>
            <w:r w:rsidRPr="002F3AFE">
              <w:rPr>
                <w:rFonts w:ascii="Times New Roman" w:hAnsi="Times New Roman"/>
                <w:b/>
                <w:sz w:val="22"/>
                <w:szCs w:val="22"/>
              </w:rPr>
              <w:t>patents and/or plant variety protection</w:t>
            </w:r>
            <w:r w:rsidRPr="002F3AFE">
              <w:rPr>
                <w:rFonts w:ascii="Times New Roman" w:hAnsi="Times New Roman"/>
                <w:sz w:val="22"/>
                <w:szCs w:val="22"/>
              </w:rPr>
              <w:t>, Center has registered/ applied for them (or allowed third parties to register/apply for them) over the Center’s IAs only when this was necessary for the further improvement of such IAs or to enhance the scale or scope of impact on target beneficiaries, in furtherance of the CGIAR Vision.</w:t>
            </w:r>
          </w:p>
        </w:tc>
        <w:tc>
          <w:tcPr>
            <w:tcW w:w="1842" w:type="dxa"/>
          </w:tcPr>
          <w:p w:rsidR="006F3859" w:rsidRPr="002F3AFE" w:rsidRDefault="006F3859" w:rsidP="00BB1AC2">
            <w:pPr>
              <w:ind w:right="-108"/>
              <w:rPr>
                <w:rFonts w:ascii="Times New Roman" w:hAnsi="Times New Roman"/>
                <w:sz w:val="22"/>
                <w:szCs w:val="22"/>
              </w:rPr>
            </w:pPr>
            <w:r w:rsidRPr="002F3AFE">
              <w:rPr>
                <w:rFonts w:ascii="Times New Roman" w:hAnsi="Times New Roman"/>
                <w:sz w:val="22"/>
                <w:szCs w:val="22"/>
              </w:rPr>
              <w:t>Art 6.4.2 Principles and Art 6.4 b) IG</w:t>
            </w:r>
          </w:p>
        </w:tc>
        <w:tc>
          <w:tcPr>
            <w:tcW w:w="1027" w:type="dxa"/>
          </w:tcPr>
          <w:p w:rsidR="006F3859" w:rsidRPr="002F3AFE" w:rsidRDefault="006F3859" w:rsidP="00BB1AC2">
            <w:pPr>
              <w:rPr>
                <w:rFonts w:ascii="Times New Roman" w:hAnsi="Times New Roman"/>
                <w:b/>
                <w:sz w:val="22"/>
                <w:szCs w:val="22"/>
              </w:rPr>
            </w:pPr>
          </w:p>
        </w:tc>
      </w:tr>
      <w:tr w:rsidR="006F3859" w:rsidRPr="002F3AFE" w:rsidTr="00763A52">
        <w:trPr>
          <w:trHeight w:val="273"/>
          <w:jc w:val="center"/>
        </w:trPr>
        <w:tc>
          <w:tcPr>
            <w:tcW w:w="11307" w:type="dxa"/>
          </w:tcPr>
          <w:p w:rsidR="006F3859" w:rsidRPr="002F3AFE" w:rsidRDefault="006F3859" w:rsidP="00BB1AC2">
            <w:pPr>
              <w:rPr>
                <w:rFonts w:ascii="Times New Roman" w:hAnsi="Times New Roman"/>
                <w:sz w:val="22"/>
                <w:szCs w:val="22"/>
              </w:rPr>
            </w:pPr>
            <w:r w:rsidRPr="002F3AFE">
              <w:rPr>
                <w:rFonts w:ascii="Times New Roman" w:hAnsi="Times New Roman"/>
                <w:sz w:val="22"/>
                <w:szCs w:val="22"/>
              </w:rPr>
              <w:t xml:space="preserve">With regard to </w:t>
            </w:r>
            <w:r w:rsidRPr="002F3AFE">
              <w:rPr>
                <w:rFonts w:ascii="Times New Roman" w:hAnsi="Times New Roman"/>
                <w:b/>
                <w:sz w:val="22"/>
                <w:szCs w:val="22"/>
              </w:rPr>
              <w:t>trademarks</w:t>
            </w:r>
            <w:r w:rsidRPr="002F3AFE">
              <w:rPr>
                <w:rFonts w:ascii="Times New Roman" w:hAnsi="Times New Roman"/>
                <w:sz w:val="22"/>
                <w:szCs w:val="22"/>
              </w:rPr>
              <w:t xml:space="preserve">, Center has </w:t>
            </w:r>
            <w:r w:rsidR="00EB465E" w:rsidRPr="002F3AFE">
              <w:rPr>
                <w:rFonts w:ascii="Times New Roman" w:hAnsi="Times New Roman"/>
                <w:sz w:val="22"/>
                <w:szCs w:val="22"/>
              </w:rPr>
              <w:t xml:space="preserve">protected, </w:t>
            </w:r>
            <w:r w:rsidRPr="002F3AFE">
              <w:rPr>
                <w:rFonts w:ascii="Times New Roman" w:hAnsi="Times New Roman"/>
                <w:sz w:val="22"/>
                <w:szCs w:val="22"/>
              </w:rPr>
              <w:t>or has considered protecting</w:t>
            </w:r>
            <w:r w:rsidR="00EB465E" w:rsidRPr="002F3AFE">
              <w:rPr>
                <w:rFonts w:ascii="Times New Roman" w:hAnsi="Times New Roman"/>
                <w:sz w:val="22"/>
                <w:szCs w:val="22"/>
              </w:rPr>
              <w:t>,</w:t>
            </w:r>
            <w:r w:rsidRPr="002F3AFE">
              <w:rPr>
                <w:rFonts w:ascii="Times New Roman" w:hAnsi="Times New Roman"/>
                <w:sz w:val="22"/>
                <w:szCs w:val="22"/>
              </w:rPr>
              <w:t xml:space="preserve"> its names</w:t>
            </w:r>
            <w:r w:rsidR="0029267B">
              <w:rPr>
                <w:rFonts w:ascii="Times New Roman" w:hAnsi="Times New Roman"/>
                <w:sz w:val="22"/>
                <w:szCs w:val="22"/>
              </w:rPr>
              <w:t xml:space="preserve"> and logos, and has registered, </w:t>
            </w:r>
            <w:r w:rsidRPr="002F3AFE">
              <w:rPr>
                <w:rFonts w:ascii="Times New Roman" w:hAnsi="Times New Roman"/>
                <w:sz w:val="22"/>
                <w:szCs w:val="22"/>
              </w:rPr>
              <w:t>or</w:t>
            </w:r>
            <w:r w:rsidR="0029267B">
              <w:rPr>
                <w:rFonts w:ascii="Times New Roman" w:hAnsi="Times New Roman"/>
                <w:sz w:val="22"/>
                <w:szCs w:val="22"/>
              </w:rPr>
              <w:t xml:space="preserve"> considered whether to register,</w:t>
            </w:r>
            <w:r w:rsidRPr="002F3AFE">
              <w:rPr>
                <w:rFonts w:ascii="Times New Roman" w:hAnsi="Times New Roman"/>
                <w:sz w:val="22"/>
                <w:szCs w:val="22"/>
              </w:rPr>
              <w:t xml:space="preserve"> distinctive marks and signs (e.g. trademarks) for the products and/or services it produced.</w:t>
            </w:r>
          </w:p>
        </w:tc>
        <w:tc>
          <w:tcPr>
            <w:tcW w:w="1842" w:type="dxa"/>
          </w:tcPr>
          <w:p w:rsidR="006F3859" w:rsidRPr="002F3AFE" w:rsidRDefault="006F3859" w:rsidP="00BB1AC2">
            <w:pPr>
              <w:ind w:right="-108"/>
              <w:rPr>
                <w:rFonts w:ascii="Times New Roman" w:hAnsi="Times New Roman"/>
                <w:sz w:val="22"/>
                <w:szCs w:val="22"/>
              </w:rPr>
            </w:pPr>
            <w:r w:rsidRPr="002F3AFE">
              <w:rPr>
                <w:rFonts w:ascii="Times New Roman" w:hAnsi="Times New Roman"/>
                <w:sz w:val="22"/>
                <w:szCs w:val="22"/>
              </w:rPr>
              <w:t>Art. 6.4.1 Principles and Art 6.4 b) IG</w:t>
            </w:r>
          </w:p>
        </w:tc>
        <w:tc>
          <w:tcPr>
            <w:tcW w:w="1027" w:type="dxa"/>
          </w:tcPr>
          <w:p w:rsidR="006F3859" w:rsidRPr="002F3AFE" w:rsidRDefault="006F3859" w:rsidP="00BB1AC2">
            <w:pPr>
              <w:rPr>
                <w:rFonts w:ascii="Times New Roman" w:hAnsi="Times New Roman"/>
                <w:b/>
                <w:sz w:val="22"/>
                <w:szCs w:val="22"/>
              </w:rPr>
            </w:pPr>
          </w:p>
        </w:tc>
      </w:tr>
      <w:tr w:rsidR="006F3859" w:rsidRPr="002F3AFE" w:rsidTr="00763A52">
        <w:trPr>
          <w:trHeight w:val="273"/>
          <w:jc w:val="center"/>
        </w:trPr>
        <w:tc>
          <w:tcPr>
            <w:tcW w:w="11307" w:type="dxa"/>
            <w:shd w:val="clear" w:color="auto" w:fill="D9D9D9" w:themeFill="background1" w:themeFillShade="D9"/>
          </w:tcPr>
          <w:p w:rsidR="006F3859" w:rsidRPr="002F3AFE" w:rsidRDefault="006F3859" w:rsidP="00BB1AC2">
            <w:pPr>
              <w:rPr>
                <w:rFonts w:ascii="Times New Roman" w:hAnsi="Times New Roman"/>
                <w:b/>
                <w:sz w:val="22"/>
                <w:szCs w:val="22"/>
              </w:rPr>
            </w:pPr>
            <w:r w:rsidRPr="002F3AFE">
              <w:rPr>
                <w:rFonts w:ascii="Times New Roman" w:hAnsi="Times New Roman"/>
                <w:b/>
                <w:color w:val="0070C0"/>
                <w:sz w:val="22"/>
                <w:szCs w:val="22"/>
              </w:rPr>
              <w:t>4. Additional sound IA management practices</w:t>
            </w:r>
          </w:p>
        </w:tc>
        <w:tc>
          <w:tcPr>
            <w:tcW w:w="1842" w:type="dxa"/>
            <w:shd w:val="clear" w:color="auto" w:fill="D9D9D9" w:themeFill="background1" w:themeFillShade="D9"/>
          </w:tcPr>
          <w:p w:rsidR="006F3859" w:rsidRPr="002F3AFE" w:rsidRDefault="006F3859" w:rsidP="00BB1AC2">
            <w:pPr>
              <w:ind w:right="-108"/>
              <w:rPr>
                <w:rFonts w:ascii="Times New Roman" w:hAnsi="Times New Roman"/>
                <w:sz w:val="22"/>
                <w:szCs w:val="22"/>
              </w:rPr>
            </w:pPr>
            <w:r w:rsidRPr="002F3AFE">
              <w:rPr>
                <w:rFonts w:ascii="Times New Roman" w:hAnsi="Times New Roman"/>
                <w:sz w:val="22"/>
                <w:szCs w:val="22"/>
              </w:rPr>
              <w:t>Art 5 Principles</w:t>
            </w:r>
          </w:p>
        </w:tc>
        <w:tc>
          <w:tcPr>
            <w:tcW w:w="1027" w:type="dxa"/>
            <w:shd w:val="clear" w:color="auto" w:fill="D9D9D9" w:themeFill="background1" w:themeFillShade="D9"/>
          </w:tcPr>
          <w:p w:rsidR="006F3859" w:rsidRPr="002F3AFE" w:rsidRDefault="006F3859" w:rsidP="00BB1AC2">
            <w:pPr>
              <w:rPr>
                <w:rFonts w:ascii="Times New Roman" w:hAnsi="Times New Roman"/>
                <w:b/>
                <w:sz w:val="22"/>
                <w:szCs w:val="22"/>
              </w:rPr>
            </w:pPr>
          </w:p>
        </w:tc>
      </w:tr>
      <w:tr w:rsidR="006F3859" w:rsidRPr="002F3AFE" w:rsidTr="00763A52">
        <w:trPr>
          <w:trHeight w:val="273"/>
          <w:jc w:val="center"/>
        </w:trPr>
        <w:tc>
          <w:tcPr>
            <w:tcW w:w="11307" w:type="dxa"/>
          </w:tcPr>
          <w:p w:rsidR="006F3859" w:rsidRPr="002F3AFE" w:rsidRDefault="006F3859" w:rsidP="00BB1AC2">
            <w:pPr>
              <w:rPr>
                <w:rFonts w:ascii="Times New Roman" w:hAnsi="Times New Roman"/>
                <w:sz w:val="22"/>
                <w:szCs w:val="22"/>
              </w:rPr>
            </w:pPr>
            <w:r w:rsidRPr="002F3AFE">
              <w:rPr>
                <w:rFonts w:ascii="Times New Roman" w:hAnsi="Times New Roman"/>
                <w:sz w:val="22"/>
                <w:szCs w:val="22"/>
              </w:rPr>
              <w:t>The Center has a regularly updated</w:t>
            </w:r>
            <w:r w:rsidRPr="002F3AFE">
              <w:rPr>
                <w:rFonts w:ascii="Times New Roman" w:hAnsi="Times New Roman"/>
                <w:b/>
                <w:sz w:val="22"/>
                <w:szCs w:val="22"/>
              </w:rPr>
              <w:t xml:space="preserve"> IP portfolio </w:t>
            </w:r>
            <w:r w:rsidRPr="002F3AFE">
              <w:rPr>
                <w:rFonts w:ascii="Times New Roman" w:hAnsi="Times New Roman"/>
                <w:color w:val="000000"/>
                <w:sz w:val="22"/>
                <w:szCs w:val="22"/>
              </w:rPr>
              <w:t xml:space="preserve">which includes as a minimum all IP Rights registered by the Center (e.g. trademarks, patents, plant variety rights) </w:t>
            </w:r>
          </w:p>
        </w:tc>
        <w:tc>
          <w:tcPr>
            <w:tcW w:w="1842" w:type="dxa"/>
          </w:tcPr>
          <w:p w:rsidR="006F3859" w:rsidRPr="002F3AFE" w:rsidRDefault="006F3859" w:rsidP="00BB1AC2">
            <w:pPr>
              <w:rPr>
                <w:rFonts w:ascii="Times New Roman" w:hAnsi="Times New Roman"/>
                <w:sz w:val="22"/>
                <w:szCs w:val="22"/>
              </w:rPr>
            </w:pPr>
            <w:r w:rsidRPr="002F3AFE">
              <w:rPr>
                <w:rFonts w:ascii="Times New Roman" w:hAnsi="Times New Roman"/>
                <w:sz w:val="22"/>
                <w:szCs w:val="22"/>
              </w:rPr>
              <w:t>Art 5 c) IG</w:t>
            </w:r>
          </w:p>
        </w:tc>
        <w:tc>
          <w:tcPr>
            <w:tcW w:w="1027" w:type="dxa"/>
          </w:tcPr>
          <w:p w:rsidR="006F3859" w:rsidRPr="002F3AFE" w:rsidRDefault="006F3859" w:rsidP="00BB1AC2">
            <w:pPr>
              <w:rPr>
                <w:rFonts w:ascii="Times New Roman" w:hAnsi="Times New Roman"/>
                <w:b/>
                <w:sz w:val="22"/>
                <w:szCs w:val="22"/>
              </w:rPr>
            </w:pPr>
          </w:p>
        </w:tc>
      </w:tr>
      <w:tr w:rsidR="006F3859" w:rsidRPr="002F3AFE" w:rsidTr="00763A52">
        <w:trPr>
          <w:trHeight w:val="273"/>
          <w:jc w:val="center"/>
        </w:trPr>
        <w:tc>
          <w:tcPr>
            <w:tcW w:w="11307" w:type="dxa"/>
          </w:tcPr>
          <w:p w:rsidR="006F3859" w:rsidRPr="002F3AFE" w:rsidRDefault="006F3859" w:rsidP="00BB1AC2">
            <w:pPr>
              <w:rPr>
                <w:rFonts w:ascii="Times New Roman" w:hAnsi="Times New Roman"/>
                <w:sz w:val="22"/>
                <w:szCs w:val="22"/>
              </w:rPr>
            </w:pPr>
            <w:r w:rsidRPr="002F3AFE">
              <w:rPr>
                <w:rFonts w:ascii="Times New Roman" w:hAnsi="Times New Roman"/>
                <w:b/>
                <w:sz w:val="22"/>
                <w:szCs w:val="22"/>
              </w:rPr>
              <w:t>Lab notebooks</w:t>
            </w:r>
            <w:r w:rsidRPr="002F3AFE">
              <w:rPr>
                <w:rFonts w:ascii="Times New Roman" w:hAnsi="Times New Roman"/>
                <w:sz w:val="22"/>
                <w:szCs w:val="22"/>
              </w:rPr>
              <w:t xml:space="preserve"> and their equivalent are appropriately and regularly maintained and stored</w:t>
            </w:r>
          </w:p>
        </w:tc>
        <w:tc>
          <w:tcPr>
            <w:tcW w:w="1842" w:type="dxa"/>
          </w:tcPr>
          <w:p w:rsidR="006F3859" w:rsidRPr="002F3AFE" w:rsidRDefault="006F3859" w:rsidP="00BB1AC2">
            <w:pPr>
              <w:rPr>
                <w:rFonts w:ascii="Times New Roman" w:hAnsi="Times New Roman"/>
                <w:sz w:val="22"/>
                <w:szCs w:val="22"/>
              </w:rPr>
            </w:pPr>
            <w:r w:rsidRPr="002F3AFE">
              <w:rPr>
                <w:rFonts w:ascii="Times New Roman" w:hAnsi="Times New Roman"/>
                <w:sz w:val="22"/>
                <w:szCs w:val="22"/>
              </w:rPr>
              <w:t>Art 5 d) IG</w:t>
            </w:r>
          </w:p>
        </w:tc>
        <w:tc>
          <w:tcPr>
            <w:tcW w:w="1027" w:type="dxa"/>
          </w:tcPr>
          <w:p w:rsidR="006F3859" w:rsidRPr="002F3AFE" w:rsidRDefault="006F3859" w:rsidP="00BB1AC2">
            <w:pPr>
              <w:rPr>
                <w:rFonts w:ascii="Times New Roman" w:hAnsi="Times New Roman"/>
                <w:b/>
                <w:sz w:val="22"/>
                <w:szCs w:val="22"/>
              </w:rPr>
            </w:pPr>
          </w:p>
        </w:tc>
      </w:tr>
      <w:tr w:rsidR="006F3859" w:rsidRPr="002F3AFE" w:rsidTr="00763A52">
        <w:trPr>
          <w:trHeight w:val="273"/>
          <w:jc w:val="center"/>
        </w:trPr>
        <w:tc>
          <w:tcPr>
            <w:tcW w:w="11307" w:type="dxa"/>
          </w:tcPr>
          <w:p w:rsidR="006F3859" w:rsidRPr="002F3AFE" w:rsidRDefault="006F3859" w:rsidP="00BB1AC2">
            <w:pPr>
              <w:rPr>
                <w:rFonts w:ascii="Times New Roman" w:hAnsi="Times New Roman"/>
                <w:sz w:val="22"/>
                <w:szCs w:val="22"/>
              </w:rPr>
            </w:pPr>
            <w:r w:rsidRPr="002F3AFE">
              <w:rPr>
                <w:rFonts w:ascii="Times New Roman" w:hAnsi="Times New Roman"/>
                <w:sz w:val="22"/>
                <w:szCs w:val="22"/>
              </w:rPr>
              <w:t xml:space="preserve">A procedure exists and is followed for the </w:t>
            </w:r>
            <w:r w:rsidRPr="002F3AFE">
              <w:rPr>
                <w:rFonts w:ascii="Times New Roman" w:hAnsi="Times New Roman"/>
                <w:b/>
                <w:sz w:val="22"/>
                <w:szCs w:val="22"/>
              </w:rPr>
              <w:t>internal disclosure of all discoveries, inventions, and new plant releases</w:t>
            </w:r>
            <w:r w:rsidRPr="002F3AFE">
              <w:rPr>
                <w:rFonts w:ascii="Times New Roman" w:hAnsi="Times New Roman"/>
                <w:sz w:val="22"/>
                <w:szCs w:val="22"/>
              </w:rPr>
              <w:t xml:space="preserve"> by Center staff…</w:t>
            </w:r>
          </w:p>
        </w:tc>
        <w:tc>
          <w:tcPr>
            <w:tcW w:w="1842" w:type="dxa"/>
          </w:tcPr>
          <w:p w:rsidR="006F3859" w:rsidRPr="002F3AFE" w:rsidRDefault="006F3859" w:rsidP="00BB1AC2">
            <w:pPr>
              <w:rPr>
                <w:rFonts w:ascii="Times New Roman" w:hAnsi="Times New Roman"/>
                <w:sz w:val="22"/>
                <w:szCs w:val="22"/>
              </w:rPr>
            </w:pPr>
            <w:r w:rsidRPr="002F3AFE">
              <w:rPr>
                <w:rFonts w:ascii="Times New Roman" w:hAnsi="Times New Roman"/>
                <w:sz w:val="22"/>
                <w:szCs w:val="22"/>
              </w:rPr>
              <w:t>Art 5 e) IG</w:t>
            </w:r>
          </w:p>
        </w:tc>
        <w:tc>
          <w:tcPr>
            <w:tcW w:w="1027" w:type="dxa"/>
          </w:tcPr>
          <w:p w:rsidR="006F3859" w:rsidRPr="002F3AFE" w:rsidRDefault="006F3859" w:rsidP="00BB1AC2">
            <w:pPr>
              <w:rPr>
                <w:rFonts w:ascii="Times New Roman" w:hAnsi="Times New Roman"/>
                <w:b/>
                <w:sz w:val="22"/>
                <w:szCs w:val="22"/>
              </w:rPr>
            </w:pPr>
          </w:p>
        </w:tc>
      </w:tr>
      <w:tr w:rsidR="006F3859" w:rsidRPr="002F3AFE" w:rsidTr="00763A52">
        <w:trPr>
          <w:trHeight w:val="273"/>
          <w:jc w:val="center"/>
        </w:trPr>
        <w:tc>
          <w:tcPr>
            <w:tcW w:w="11307" w:type="dxa"/>
          </w:tcPr>
          <w:p w:rsidR="006F3859" w:rsidRPr="002F3AFE" w:rsidRDefault="006F3859" w:rsidP="00BB1AC2">
            <w:pPr>
              <w:rPr>
                <w:rFonts w:ascii="Times New Roman" w:hAnsi="Times New Roman"/>
                <w:sz w:val="22"/>
                <w:szCs w:val="22"/>
              </w:rPr>
            </w:pPr>
            <w:r w:rsidRPr="002F3AFE">
              <w:rPr>
                <w:rFonts w:ascii="Times New Roman" w:hAnsi="Times New Roman"/>
                <w:sz w:val="22"/>
                <w:szCs w:val="22"/>
              </w:rPr>
              <w:t xml:space="preserve">Action is taken where appropriate to </w:t>
            </w:r>
            <w:r w:rsidRPr="002F3AFE">
              <w:rPr>
                <w:rFonts w:ascii="Times New Roman" w:hAnsi="Times New Roman"/>
                <w:b/>
                <w:sz w:val="22"/>
                <w:szCs w:val="22"/>
              </w:rPr>
              <w:t>pre-empt third party IP claims</w:t>
            </w:r>
          </w:p>
        </w:tc>
        <w:tc>
          <w:tcPr>
            <w:tcW w:w="1842" w:type="dxa"/>
          </w:tcPr>
          <w:p w:rsidR="006F3859" w:rsidRPr="002F3AFE" w:rsidRDefault="006F3859" w:rsidP="00BB1AC2">
            <w:pPr>
              <w:rPr>
                <w:rFonts w:ascii="Times New Roman" w:hAnsi="Times New Roman"/>
                <w:sz w:val="22"/>
                <w:szCs w:val="22"/>
              </w:rPr>
            </w:pPr>
            <w:r w:rsidRPr="002F3AFE">
              <w:rPr>
                <w:rFonts w:ascii="Times New Roman" w:hAnsi="Times New Roman"/>
                <w:sz w:val="22"/>
                <w:szCs w:val="22"/>
              </w:rPr>
              <w:t>Art 5 f) IG</w:t>
            </w:r>
          </w:p>
        </w:tc>
        <w:tc>
          <w:tcPr>
            <w:tcW w:w="1027" w:type="dxa"/>
          </w:tcPr>
          <w:p w:rsidR="006F3859" w:rsidRPr="002F3AFE" w:rsidRDefault="006F3859" w:rsidP="00BB1AC2">
            <w:pPr>
              <w:rPr>
                <w:rFonts w:ascii="Times New Roman" w:hAnsi="Times New Roman"/>
                <w:b/>
                <w:sz w:val="22"/>
                <w:szCs w:val="22"/>
              </w:rPr>
            </w:pPr>
          </w:p>
        </w:tc>
      </w:tr>
      <w:tr w:rsidR="006F3859" w:rsidRPr="002F3AFE" w:rsidTr="00763A52">
        <w:trPr>
          <w:trHeight w:val="273"/>
          <w:jc w:val="center"/>
        </w:trPr>
        <w:tc>
          <w:tcPr>
            <w:tcW w:w="11307" w:type="dxa"/>
          </w:tcPr>
          <w:p w:rsidR="006F3859" w:rsidRPr="002F3AFE" w:rsidRDefault="006F3859" w:rsidP="00BB1AC2">
            <w:pPr>
              <w:rPr>
                <w:rFonts w:ascii="Times New Roman" w:hAnsi="Times New Roman"/>
                <w:sz w:val="22"/>
                <w:szCs w:val="22"/>
              </w:rPr>
            </w:pPr>
            <w:r w:rsidRPr="002F3AFE">
              <w:rPr>
                <w:rFonts w:ascii="Times New Roman" w:hAnsi="Times New Roman"/>
                <w:b/>
                <w:sz w:val="22"/>
                <w:szCs w:val="22"/>
              </w:rPr>
              <w:t xml:space="preserve">IA audits </w:t>
            </w:r>
            <w:r w:rsidRPr="002F3AFE">
              <w:rPr>
                <w:rFonts w:ascii="Times New Roman" w:hAnsi="Times New Roman"/>
                <w:sz w:val="22"/>
                <w:szCs w:val="22"/>
              </w:rPr>
              <w:t>are carried out as appropriate</w:t>
            </w:r>
          </w:p>
        </w:tc>
        <w:tc>
          <w:tcPr>
            <w:tcW w:w="1842" w:type="dxa"/>
          </w:tcPr>
          <w:p w:rsidR="006F3859" w:rsidRPr="002F3AFE" w:rsidRDefault="006F3859" w:rsidP="00BB1AC2">
            <w:pPr>
              <w:rPr>
                <w:rFonts w:ascii="Times New Roman" w:hAnsi="Times New Roman"/>
                <w:sz w:val="22"/>
                <w:szCs w:val="22"/>
              </w:rPr>
            </w:pPr>
            <w:r w:rsidRPr="002F3AFE">
              <w:rPr>
                <w:rFonts w:ascii="Times New Roman" w:hAnsi="Times New Roman"/>
                <w:sz w:val="22"/>
                <w:szCs w:val="22"/>
              </w:rPr>
              <w:t>Art 5 g) IG</w:t>
            </w:r>
          </w:p>
        </w:tc>
        <w:tc>
          <w:tcPr>
            <w:tcW w:w="1027" w:type="dxa"/>
          </w:tcPr>
          <w:p w:rsidR="006F3859" w:rsidRPr="002F3AFE" w:rsidRDefault="006F3859" w:rsidP="00BB1AC2">
            <w:pPr>
              <w:rPr>
                <w:rFonts w:ascii="Times New Roman" w:hAnsi="Times New Roman"/>
                <w:b/>
                <w:sz w:val="22"/>
                <w:szCs w:val="22"/>
              </w:rPr>
            </w:pPr>
          </w:p>
        </w:tc>
      </w:tr>
      <w:tr w:rsidR="006F3859" w:rsidRPr="002F3AFE" w:rsidTr="00763A52">
        <w:trPr>
          <w:trHeight w:val="273"/>
          <w:jc w:val="center"/>
        </w:trPr>
        <w:tc>
          <w:tcPr>
            <w:tcW w:w="11307" w:type="dxa"/>
          </w:tcPr>
          <w:p w:rsidR="006F3859" w:rsidRPr="002F3AFE" w:rsidRDefault="006F3859" w:rsidP="00BB1AC2">
            <w:pPr>
              <w:rPr>
                <w:rFonts w:ascii="Times New Roman" w:hAnsi="Times New Roman"/>
                <w:sz w:val="22"/>
                <w:szCs w:val="22"/>
              </w:rPr>
            </w:pPr>
            <w:r w:rsidRPr="002F3AFE">
              <w:rPr>
                <w:rFonts w:ascii="Times New Roman" w:hAnsi="Times New Roman"/>
                <w:sz w:val="22"/>
                <w:szCs w:val="22"/>
              </w:rPr>
              <w:t>Center</w:t>
            </w:r>
            <w:r w:rsidRPr="002F3AFE">
              <w:rPr>
                <w:rFonts w:ascii="Times New Roman" w:hAnsi="Times New Roman"/>
                <w:color w:val="000000"/>
                <w:sz w:val="22"/>
                <w:szCs w:val="22"/>
              </w:rPr>
              <w:t xml:space="preserve"> owns (where possible) the IP rights over IAs generated by staff, visiting scientists, consultants, students, and others </w:t>
            </w:r>
          </w:p>
        </w:tc>
        <w:tc>
          <w:tcPr>
            <w:tcW w:w="1842" w:type="dxa"/>
          </w:tcPr>
          <w:p w:rsidR="006F3859" w:rsidRPr="002F3AFE" w:rsidRDefault="006F3859" w:rsidP="00BB1AC2">
            <w:pPr>
              <w:rPr>
                <w:rFonts w:ascii="Times New Roman" w:hAnsi="Times New Roman"/>
                <w:sz w:val="22"/>
                <w:szCs w:val="22"/>
              </w:rPr>
            </w:pPr>
            <w:r w:rsidRPr="002F3AFE">
              <w:rPr>
                <w:rFonts w:ascii="Times New Roman" w:hAnsi="Times New Roman"/>
                <w:sz w:val="22"/>
                <w:szCs w:val="22"/>
              </w:rPr>
              <w:t>Art 5 h) IG</w:t>
            </w:r>
          </w:p>
        </w:tc>
        <w:tc>
          <w:tcPr>
            <w:tcW w:w="1027" w:type="dxa"/>
          </w:tcPr>
          <w:p w:rsidR="006F3859" w:rsidRPr="002F3AFE" w:rsidRDefault="006F3859" w:rsidP="00BB1AC2">
            <w:pPr>
              <w:rPr>
                <w:rFonts w:ascii="Times New Roman" w:hAnsi="Times New Roman"/>
                <w:b/>
                <w:sz w:val="22"/>
                <w:szCs w:val="22"/>
              </w:rPr>
            </w:pPr>
          </w:p>
        </w:tc>
      </w:tr>
      <w:tr w:rsidR="006F3859" w:rsidRPr="002F3AFE" w:rsidTr="00763A52">
        <w:trPr>
          <w:trHeight w:val="273"/>
          <w:jc w:val="center"/>
        </w:trPr>
        <w:tc>
          <w:tcPr>
            <w:tcW w:w="11307" w:type="dxa"/>
          </w:tcPr>
          <w:p w:rsidR="006F3859" w:rsidRPr="002F3AFE" w:rsidRDefault="006F3859" w:rsidP="00BB1AC2">
            <w:pPr>
              <w:rPr>
                <w:rFonts w:ascii="Times New Roman" w:hAnsi="Times New Roman"/>
                <w:sz w:val="22"/>
                <w:szCs w:val="22"/>
              </w:rPr>
            </w:pPr>
            <w:r w:rsidRPr="002F3AFE">
              <w:rPr>
                <w:rFonts w:ascii="Times New Roman" w:hAnsi="Times New Roman"/>
                <w:b/>
                <w:sz w:val="22"/>
                <w:szCs w:val="22"/>
              </w:rPr>
              <w:t>IP Rights due diligence</w:t>
            </w:r>
            <w:r w:rsidRPr="002F3AFE">
              <w:rPr>
                <w:rFonts w:ascii="Times New Roman" w:hAnsi="Times New Roman"/>
                <w:sz w:val="22"/>
                <w:szCs w:val="22"/>
              </w:rPr>
              <w:t xml:space="preserve"> is undertaken when relevant (particularly when activities such as product testing, development or commercialization are envisaged downstream)</w:t>
            </w:r>
          </w:p>
        </w:tc>
        <w:tc>
          <w:tcPr>
            <w:tcW w:w="1842" w:type="dxa"/>
          </w:tcPr>
          <w:p w:rsidR="006F3859" w:rsidRPr="002F3AFE" w:rsidRDefault="006F3859" w:rsidP="00BB1AC2">
            <w:pPr>
              <w:rPr>
                <w:rFonts w:ascii="Times New Roman" w:hAnsi="Times New Roman"/>
                <w:sz w:val="22"/>
                <w:szCs w:val="22"/>
              </w:rPr>
            </w:pPr>
            <w:r w:rsidRPr="002F3AFE">
              <w:rPr>
                <w:rFonts w:ascii="Times New Roman" w:hAnsi="Times New Roman"/>
                <w:sz w:val="22"/>
                <w:szCs w:val="22"/>
              </w:rPr>
              <w:t xml:space="preserve">Art 5 </w:t>
            </w:r>
            <w:proofErr w:type="spellStart"/>
            <w:r w:rsidRPr="002F3AFE">
              <w:rPr>
                <w:rFonts w:ascii="Times New Roman" w:hAnsi="Times New Roman"/>
                <w:sz w:val="22"/>
                <w:szCs w:val="22"/>
              </w:rPr>
              <w:t>i</w:t>
            </w:r>
            <w:proofErr w:type="spellEnd"/>
            <w:r w:rsidRPr="002F3AFE">
              <w:rPr>
                <w:rFonts w:ascii="Times New Roman" w:hAnsi="Times New Roman"/>
                <w:sz w:val="22"/>
                <w:szCs w:val="22"/>
              </w:rPr>
              <w:t>) IG</w:t>
            </w:r>
          </w:p>
        </w:tc>
        <w:tc>
          <w:tcPr>
            <w:tcW w:w="1027" w:type="dxa"/>
          </w:tcPr>
          <w:p w:rsidR="006F3859" w:rsidRPr="002F3AFE" w:rsidRDefault="006F3859" w:rsidP="00BB1AC2">
            <w:pPr>
              <w:rPr>
                <w:rFonts w:ascii="Times New Roman" w:hAnsi="Times New Roman"/>
                <w:b/>
                <w:sz w:val="22"/>
                <w:szCs w:val="22"/>
              </w:rPr>
            </w:pPr>
          </w:p>
        </w:tc>
      </w:tr>
      <w:tr w:rsidR="006F3859" w:rsidRPr="002F3AFE" w:rsidTr="00763A52">
        <w:trPr>
          <w:trHeight w:val="273"/>
          <w:jc w:val="center"/>
        </w:trPr>
        <w:tc>
          <w:tcPr>
            <w:tcW w:w="11307" w:type="dxa"/>
            <w:shd w:val="clear" w:color="auto" w:fill="D9D9D9" w:themeFill="background1" w:themeFillShade="D9"/>
          </w:tcPr>
          <w:p w:rsidR="006F3859" w:rsidRPr="002F3AFE" w:rsidRDefault="006F3859" w:rsidP="00BB1AC2">
            <w:pPr>
              <w:rPr>
                <w:rFonts w:ascii="Times New Roman" w:hAnsi="Times New Roman"/>
                <w:b/>
                <w:color w:val="0070C0"/>
                <w:sz w:val="22"/>
                <w:szCs w:val="22"/>
              </w:rPr>
            </w:pPr>
            <w:r w:rsidRPr="002F3AFE">
              <w:rPr>
                <w:rFonts w:ascii="Times New Roman" w:hAnsi="Times New Roman"/>
                <w:b/>
                <w:color w:val="0070C0"/>
                <w:sz w:val="22"/>
                <w:szCs w:val="22"/>
              </w:rPr>
              <w:t>5. Farmers’ rights</w:t>
            </w:r>
          </w:p>
        </w:tc>
        <w:tc>
          <w:tcPr>
            <w:tcW w:w="1842" w:type="dxa"/>
            <w:shd w:val="clear" w:color="auto" w:fill="D9D9D9" w:themeFill="background1" w:themeFillShade="D9"/>
          </w:tcPr>
          <w:p w:rsidR="006F3859" w:rsidRPr="002F3AFE" w:rsidRDefault="006F3859" w:rsidP="00BB1AC2">
            <w:pPr>
              <w:rPr>
                <w:rFonts w:ascii="Times New Roman" w:hAnsi="Times New Roman"/>
                <w:sz w:val="22"/>
                <w:szCs w:val="22"/>
              </w:rPr>
            </w:pPr>
          </w:p>
        </w:tc>
        <w:tc>
          <w:tcPr>
            <w:tcW w:w="1027" w:type="dxa"/>
            <w:shd w:val="clear" w:color="auto" w:fill="D9D9D9" w:themeFill="background1" w:themeFillShade="D9"/>
          </w:tcPr>
          <w:p w:rsidR="006F3859" w:rsidRPr="002F3AFE" w:rsidRDefault="006F3859" w:rsidP="00BB1AC2">
            <w:pPr>
              <w:rPr>
                <w:rFonts w:ascii="Times New Roman" w:hAnsi="Times New Roman"/>
                <w:b/>
                <w:sz w:val="22"/>
                <w:szCs w:val="22"/>
              </w:rPr>
            </w:pPr>
          </w:p>
        </w:tc>
      </w:tr>
      <w:tr w:rsidR="006F3859" w:rsidRPr="002F3AFE" w:rsidTr="00763A52">
        <w:trPr>
          <w:trHeight w:val="273"/>
          <w:jc w:val="center"/>
        </w:trPr>
        <w:tc>
          <w:tcPr>
            <w:tcW w:w="11307" w:type="dxa"/>
          </w:tcPr>
          <w:p w:rsidR="006F3859" w:rsidRPr="002F3AFE" w:rsidRDefault="006F3859" w:rsidP="00BB1AC2">
            <w:pPr>
              <w:rPr>
                <w:rFonts w:ascii="Times New Roman" w:hAnsi="Times New Roman"/>
                <w:sz w:val="22"/>
                <w:szCs w:val="22"/>
              </w:rPr>
            </w:pPr>
            <w:r w:rsidRPr="002F3AFE">
              <w:rPr>
                <w:rFonts w:ascii="Times New Roman" w:hAnsi="Times New Roman"/>
                <w:sz w:val="22"/>
                <w:szCs w:val="22"/>
              </w:rPr>
              <w:t xml:space="preserve">Center is aware of and </w:t>
            </w:r>
            <w:r w:rsidRPr="002F3AFE">
              <w:rPr>
                <w:rFonts w:ascii="Times New Roman" w:hAnsi="Times New Roman"/>
                <w:b/>
                <w:sz w:val="22"/>
                <w:szCs w:val="22"/>
              </w:rPr>
              <w:t>complies with applicable laws</w:t>
            </w:r>
            <w:r w:rsidRPr="002F3AFE">
              <w:rPr>
                <w:rFonts w:ascii="Times New Roman" w:hAnsi="Times New Roman"/>
                <w:sz w:val="22"/>
                <w:szCs w:val="22"/>
              </w:rPr>
              <w:t xml:space="preserve"> protecting and promoting farmers’ rights</w:t>
            </w:r>
          </w:p>
        </w:tc>
        <w:tc>
          <w:tcPr>
            <w:tcW w:w="1842" w:type="dxa"/>
          </w:tcPr>
          <w:p w:rsidR="006F3859" w:rsidRPr="002F3AFE" w:rsidRDefault="006F3859" w:rsidP="00BB1AC2">
            <w:pPr>
              <w:ind w:right="-108"/>
              <w:rPr>
                <w:rFonts w:ascii="Times New Roman" w:hAnsi="Times New Roman"/>
                <w:sz w:val="22"/>
                <w:szCs w:val="22"/>
              </w:rPr>
            </w:pPr>
            <w:r w:rsidRPr="002F3AFE">
              <w:rPr>
                <w:rFonts w:ascii="Times New Roman" w:hAnsi="Times New Roman"/>
                <w:sz w:val="22"/>
                <w:szCs w:val="22"/>
              </w:rPr>
              <w:t>Art 3 Principles; Art 3 a) IG</w:t>
            </w:r>
          </w:p>
        </w:tc>
        <w:tc>
          <w:tcPr>
            <w:tcW w:w="1027" w:type="dxa"/>
          </w:tcPr>
          <w:p w:rsidR="006F3859" w:rsidRPr="002F3AFE" w:rsidRDefault="006F3859" w:rsidP="00BB1AC2">
            <w:pPr>
              <w:rPr>
                <w:rFonts w:ascii="Times New Roman" w:hAnsi="Times New Roman"/>
                <w:b/>
                <w:sz w:val="22"/>
                <w:szCs w:val="22"/>
              </w:rPr>
            </w:pPr>
          </w:p>
        </w:tc>
      </w:tr>
      <w:tr w:rsidR="006F3859" w:rsidRPr="002F3AFE" w:rsidTr="00763A52">
        <w:trPr>
          <w:trHeight w:val="273"/>
          <w:jc w:val="center"/>
        </w:trPr>
        <w:tc>
          <w:tcPr>
            <w:tcW w:w="11307" w:type="dxa"/>
          </w:tcPr>
          <w:p w:rsidR="006F3859" w:rsidRPr="002F3AFE" w:rsidRDefault="006F3859" w:rsidP="00BB1AC2">
            <w:pPr>
              <w:rPr>
                <w:rFonts w:ascii="Times New Roman" w:hAnsi="Times New Roman"/>
                <w:sz w:val="22"/>
                <w:szCs w:val="22"/>
              </w:rPr>
            </w:pPr>
            <w:r w:rsidRPr="002F3AFE">
              <w:rPr>
                <w:rFonts w:ascii="Times New Roman" w:hAnsi="Times New Roman"/>
                <w:sz w:val="22"/>
                <w:szCs w:val="22"/>
              </w:rPr>
              <w:t xml:space="preserve">Center, where possible, seeks to </w:t>
            </w:r>
            <w:r w:rsidRPr="002F3AFE">
              <w:rPr>
                <w:rFonts w:ascii="Times New Roman" w:hAnsi="Times New Roman"/>
                <w:b/>
                <w:sz w:val="22"/>
                <w:szCs w:val="22"/>
              </w:rPr>
              <w:t>work in ways that promote farmers’ rights</w:t>
            </w:r>
            <w:r w:rsidRPr="002F3AFE">
              <w:rPr>
                <w:rFonts w:ascii="Times New Roman" w:hAnsi="Times New Roman"/>
                <w:sz w:val="22"/>
                <w:szCs w:val="22"/>
              </w:rPr>
              <w:t xml:space="preserve"> (see list of actions under Art 3 b) of IG)</w:t>
            </w:r>
          </w:p>
        </w:tc>
        <w:tc>
          <w:tcPr>
            <w:tcW w:w="1842" w:type="dxa"/>
          </w:tcPr>
          <w:p w:rsidR="006F3859" w:rsidRPr="002F3AFE" w:rsidRDefault="006F3859" w:rsidP="00BB1AC2">
            <w:pPr>
              <w:ind w:right="-108"/>
              <w:rPr>
                <w:rFonts w:ascii="Times New Roman" w:hAnsi="Times New Roman"/>
                <w:sz w:val="22"/>
                <w:szCs w:val="22"/>
              </w:rPr>
            </w:pPr>
            <w:r w:rsidRPr="002F3AFE">
              <w:rPr>
                <w:rFonts w:ascii="Times New Roman" w:hAnsi="Times New Roman"/>
                <w:sz w:val="22"/>
                <w:szCs w:val="22"/>
              </w:rPr>
              <w:t>Art 3 Principles; Art 3 b) IG</w:t>
            </w:r>
          </w:p>
        </w:tc>
        <w:tc>
          <w:tcPr>
            <w:tcW w:w="1027" w:type="dxa"/>
          </w:tcPr>
          <w:p w:rsidR="006F3859" w:rsidRPr="002F3AFE" w:rsidRDefault="006F3859" w:rsidP="00BB1AC2">
            <w:pPr>
              <w:rPr>
                <w:rFonts w:ascii="Times New Roman" w:hAnsi="Times New Roman"/>
                <w:b/>
                <w:sz w:val="22"/>
                <w:szCs w:val="22"/>
              </w:rPr>
            </w:pPr>
          </w:p>
        </w:tc>
      </w:tr>
      <w:tr w:rsidR="009D3EA1" w:rsidRPr="002F3AFE" w:rsidTr="00763A52">
        <w:trPr>
          <w:trHeight w:val="273"/>
          <w:jc w:val="center"/>
        </w:trPr>
        <w:tc>
          <w:tcPr>
            <w:tcW w:w="11307" w:type="dxa"/>
            <w:shd w:val="clear" w:color="auto" w:fill="D9D9D9" w:themeFill="background1" w:themeFillShade="D9"/>
          </w:tcPr>
          <w:p w:rsidR="009D3EA1" w:rsidRPr="002F3AFE" w:rsidRDefault="009D3EA1" w:rsidP="00BB1AC2">
            <w:pPr>
              <w:rPr>
                <w:rFonts w:ascii="Times New Roman" w:hAnsi="Times New Roman"/>
                <w:b/>
                <w:color w:val="0070C0"/>
                <w:sz w:val="22"/>
                <w:szCs w:val="22"/>
              </w:rPr>
            </w:pPr>
            <w:r w:rsidRPr="002F3AFE">
              <w:rPr>
                <w:rFonts w:ascii="Times New Roman" w:hAnsi="Times New Roman"/>
                <w:b/>
                <w:color w:val="0070C0"/>
                <w:sz w:val="22"/>
                <w:szCs w:val="22"/>
              </w:rPr>
              <w:t>6. Fees</w:t>
            </w:r>
          </w:p>
        </w:tc>
        <w:tc>
          <w:tcPr>
            <w:tcW w:w="1842" w:type="dxa"/>
            <w:shd w:val="clear" w:color="auto" w:fill="D9D9D9" w:themeFill="background1" w:themeFillShade="D9"/>
          </w:tcPr>
          <w:p w:rsidR="009D3EA1" w:rsidRPr="002F3AFE" w:rsidRDefault="009D3EA1" w:rsidP="00E1030C">
            <w:pPr>
              <w:rPr>
                <w:rFonts w:ascii="Times New Roman" w:hAnsi="Times New Roman"/>
                <w:b/>
                <w:color w:val="0070C0"/>
                <w:sz w:val="22"/>
                <w:szCs w:val="22"/>
              </w:rPr>
            </w:pPr>
          </w:p>
        </w:tc>
        <w:tc>
          <w:tcPr>
            <w:tcW w:w="1027" w:type="dxa"/>
            <w:shd w:val="clear" w:color="auto" w:fill="D9D9D9" w:themeFill="background1" w:themeFillShade="D9"/>
          </w:tcPr>
          <w:p w:rsidR="009D3EA1" w:rsidRPr="002F3AFE" w:rsidRDefault="009D3EA1" w:rsidP="00BB1AC2">
            <w:pPr>
              <w:rPr>
                <w:rFonts w:ascii="Times New Roman" w:hAnsi="Times New Roman"/>
                <w:b/>
                <w:color w:val="0070C0"/>
                <w:sz w:val="22"/>
                <w:szCs w:val="22"/>
              </w:rPr>
            </w:pPr>
          </w:p>
        </w:tc>
      </w:tr>
      <w:tr w:rsidR="009D3EA1" w:rsidRPr="002F3AFE" w:rsidTr="00763A52">
        <w:trPr>
          <w:trHeight w:val="273"/>
          <w:jc w:val="center"/>
        </w:trPr>
        <w:tc>
          <w:tcPr>
            <w:tcW w:w="11307" w:type="dxa"/>
            <w:shd w:val="clear" w:color="auto" w:fill="FFFFFF" w:themeFill="background1"/>
          </w:tcPr>
          <w:p w:rsidR="009D3EA1" w:rsidRPr="002F3AFE" w:rsidRDefault="006B4D45" w:rsidP="006B4D45">
            <w:pPr>
              <w:rPr>
                <w:rFonts w:ascii="Times New Roman" w:hAnsi="Times New Roman"/>
                <w:b/>
                <w:color w:val="0070C0"/>
                <w:sz w:val="22"/>
                <w:szCs w:val="22"/>
              </w:rPr>
            </w:pPr>
            <w:r w:rsidRPr="002F3AFE">
              <w:rPr>
                <w:rFonts w:ascii="Times New Roman" w:hAnsi="Times New Roman"/>
                <w:sz w:val="22"/>
                <w:szCs w:val="22"/>
              </w:rPr>
              <w:t xml:space="preserve">Where the Center has charged fees for providing access to its Intellectual Assets, this has not </w:t>
            </w:r>
            <w:r w:rsidR="009D3EA1" w:rsidRPr="002F3AFE">
              <w:rPr>
                <w:rFonts w:ascii="Times New Roman" w:hAnsi="Times New Roman"/>
                <w:sz w:val="22"/>
                <w:szCs w:val="22"/>
              </w:rPr>
              <w:t>divert</w:t>
            </w:r>
            <w:r w:rsidRPr="002F3AFE">
              <w:rPr>
                <w:rFonts w:ascii="Times New Roman" w:hAnsi="Times New Roman"/>
                <w:sz w:val="22"/>
                <w:szCs w:val="22"/>
              </w:rPr>
              <w:t xml:space="preserve">ed </w:t>
            </w:r>
            <w:r w:rsidR="009D3EA1" w:rsidRPr="002F3AFE">
              <w:rPr>
                <w:rFonts w:ascii="Times New Roman" w:hAnsi="Times New Roman"/>
                <w:sz w:val="22"/>
                <w:szCs w:val="22"/>
              </w:rPr>
              <w:t xml:space="preserve"> </w:t>
            </w:r>
            <w:r w:rsidRPr="002F3AFE">
              <w:rPr>
                <w:rFonts w:ascii="Times New Roman" w:hAnsi="Times New Roman"/>
                <w:sz w:val="22"/>
                <w:szCs w:val="22"/>
              </w:rPr>
              <w:t xml:space="preserve">the </w:t>
            </w:r>
            <w:r w:rsidR="009D3EA1" w:rsidRPr="002F3AFE">
              <w:rPr>
                <w:rFonts w:ascii="Times New Roman" w:hAnsi="Times New Roman"/>
                <w:sz w:val="22"/>
                <w:szCs w:val="22"/>
              </w:rPr>
              <w:t>Center from fulfill</w:t>
            </w:r>
            <w:r w:rsidRPr="002F3AFE">
              <w:rPr>
                <w:rFonts w:ascii="Times New Roman" w:hAnsi="Times New Roman"/>
                <w:sz w:val="22"/>
                <w:szCs w:val="22"/>
              </w:rPr>
              <w:t xml:space="preserve">ing </w:t>
            </w:r>
            <w:r w:rsidR="009D3EA1" w:rsidRPr="002F3AFE">
              <w:rPr>
                <w:rFonts w:ascii="Times New Roman" w:hAnsi="Times New Roman"/>
                <w:sz w:val="22"/>
                <w:szCs w:val="22"/>
              </w:rPr>
              <w:t>the CGIAR Vision and the revenue is used to support the CGIAR Vision and transparently reported in the regular financial reporting of the Center</w:t>
            </w:r>
          </w:p>
        </w:tc>
        <w:tc>
          <w:tcPr>
            <w:tcW w:w="1842" w:type="dxa"/>
            <w:shd w:val="clear" w:color="auto" w:fill="FFFFFF" w:themeFill="background1"/>
          </w:tcPr>
          <w:p w:rsidR="009D3EA1" w:rsidRPr="002F3AFE" w:rsidRDefault="009D3EA1" w:rsidP="009D3EA1">
            <w:pPr>
              <w:rPr>
                <w:rFonts w:ascii="Times New Roman" w:hAnsi="Times New Roman"/>
                <w:b/>
                <w:color w:val="0070C0"/>
                <w:sz w:val="22"/>
                <w:szCs w:val="22"/>
              </w:rPr>
            </w:pPr>
          </w:p>
        </w:tc>
        <w:tc>
          <w:tcPr>
            <w:tcW w:w="1027" w:type="dxa"/>
            <w:shd w:val="clear" w:color="auto" w:fill="FFFFFF" w:themeFill="background1"/>
          </w:tcPr>
          <w:p w:rsidR="009D3EA1" w:rsidRPr="002F3AFE" w:rsidRDefault="009D3EA1" w:rsidP="00BB1AC2">
            <w:pPr>
              <w:rPr>
                <w:rFonts w:ascii="Times New Roman" w:hAnsi="Times New Roman"/>
                <w:b/>
                <w:color w:val="0070C0"/>
                <w:sz w:val="22"/>
                <w:szCs w:val="22"/>
              </w:rPr>
            </w:pPr>
          </w:p>
        </w:tc>
      </w:tr>
      <w:tr w:rsidR="006F3859" w:rsidRPr="002F3AFE" w:rsidTr="00763A52">
        <w:trPr>
          <w:trHeight w:val="273"/>
          <w:jc w:val="center"/>
        </w:trPr>
        <w:tc>
          <w:tcPr>
            <w:tcW w:w="11307" w:type="dxa"/>
            <w:shd w:val="clear" w:color="auto" w:fill="D9D9D9" w:themeFill="background1" w:themeFillShade="D9"/>
          </w:tcPr>
          <w:p w:rsidR="006F3859" w:rsidRPr="002F3AFE" w:rsidRDefault="009D3EA1" w:rsidP="00BB1AC2">
            <w:pPr>
              <w:rPr>
                <w:rFonts w:ascii="Times New Roman" w:hAnsi="Times New Roman"/>
                <w:b/>
                <w:sz w:val="22"/>
                <w:szCs w:val="22"/>
              </w:rPr>
            </w:pPr>
            <w:r w:rsidRPr="002F3AFE">
              <w:rPr>
                <w:rFonts w:ascii="Times New Roman" w:hAnsi="Times New Roman"/>
                <w:b/>
                <w:color w:val="0070C0"/>
                <w:sz w:val="22"/>
                <w:szCs w:val="22"/>
              </w:rPr>
              <w:t>7</w:t>
            </w:r>
            <w:r w:rsidR="006F3859" w:rsidRPr="002F3AFE">
              <w:rPr>
                <w:rFonts w:ascii="Times New Roman" w:hAnsi="Times New Roman"/>
                <w:b/>
                <w:color w:val="0070C0"/>
                <w:sz w:val="22"/>
                <w:szCs w:val="22"/>
              </w:rPr>
              <w:t>. Center IA Report and Board assurance of compliance</w:t>
            </w:r>
          </w:p>
        </w:tc>
        <w:tc>
          <w:tcPr>
            <w:tcW w:w="1842" w:type="dxa"/>
            <w:shd w:val="clear" w:color="auto" w:fill="D9D9D9" w:themeFill="background1" w:themeFillShade="D9"/>
          </w:tcPr>
          <w:p w:rsidR="006F3859" w:rsidRPr="002F3AFE" w:rsidRDefault="006F3859" w:rsidP="00BB1AC2">
            <w:pPr>
              <w:ind w:right="-108"/>
              <w:rPr>
                <w:rFonts w:ascii="Times New Roman" w:hAnsi="Times New Roman"/>
                <w:b/>
                <w:sz w:val="22"/>
                <w:szCs w:val="22"/>
              </w:rPr>
            </w:pPr>
          </w:p>
        </w:tc>
        <w:tc>
          <w:tcPr>
            <w:tcW w:w="1027" w:type="dxa"/>
            <w:shd w:val="clear" w:color="auto" w:fill="D9D9D9" w:themeFill="background1" w:themeFillShade="D9"/>
          </w:tcPr>
          <w:p w:rsidR="006F3859" w:rsidRPr="002F3AFE" w:rsidRDefault="006F3859" w:rsidP="00BB1AC2">
            <w:pPr>
              <w:rPr>
                <w:rFonts w:ascii="Times New Roman" w:hAnsi="Times New Roman"/>
                <w:b/>
                <w:sz w:val="22"/>
                <w:szCs w:val="22"/>
              </w:rPr>
            </w:pPr>
          </w:p>
        </w:tc>
      </w:tr>
      <w:tr w:rsidR="006F3859" w:rsidRPr="002F3AFE" w:rsidTr="00763A52">
        <w:trPr>
          <w:trHeight w:val="273"/>
          <w:jc w:val="center"/>
        </w:trPr>
        <w:tc>
          <w:tcPr>
            <w:tcW w:w="11307" w:type="dxa"/>
          </w:tcPr>
          <w:p w:rsidR="006F3859" w:rsidRPr="002F3AFE" w:rsidRDefault="006F3859" w:rsidP="00DA2967">
            <w:pPr>
              <w:rPr>
                <w:rFonts w:ascii="Times New Roman" w:hAnsi="Times New Roman"/>
                <w:sz w:val="22"/>
                <w:szCs w:val="22"/>
              </w:rPr>
            </w:pPr>
            <w:r w:rsidRPr="002F3AFE">
              <w:rPr>
                <w:rFonts w:ascii="Times New Roman" w:hAnsi="Times New Roman"/>
                <w:sz w:val="22"/>
                <w:szCs w:val="22"/>
              </w:rPr>
              <w:t xml:space="preserve">Center </w:t>
            </w:r>
            <w:r w:rsidR="00DA2967" w:rsidRPr="002F3AFE">
              <w:rPr>
                <w:rFonts w:ascii="Times New Roman" w:hAnsi="Times New Roman"/>
                <w:b/>
                <w:sz w:val="22"/>
                <w:szCs w:val="22"/>
              </w:rPr>
              <w:t>completes</w:t>
            </w:r>
            <w:r w:rsidRPr="002F3AFE">
              <w:rPr>
                <w:rFonts w:ascii="Times New Roman" w:hAnsi="Times New Roman"/>
                <w:b/>
                <w:sz w:val="22"/>
                <w:szCs w:val="22"/>
              </w:rPr>
              <w:t xml:space="preserve"> its Center IA Report</w:t>
            </w:r>
            <w:r w:rsidR="00DA2967" w:rsidRPr="002F3AFE">
              <w:rPr>
                <w:rFonts w:ascii="Times New Roman" w:hAnsi="Times New Roman"/>
                <w:sz w:val="22"/>
                <w:szCs w:val="22"/>
              </w:rPr>
              <w:t xml:space="preserve"> for the preceding year </w:t>
            </w:r>
            <w:r w:rsidRPr="002F3AFE">
              <w:rPr>
                <w:rFonts w:ascii="Times New Roman" w:hAnsi="Times New Roman"/>
                <w:sz w:val="22"/>
                <w:szCs w:val="22"/>
              </w:rPr>
              <w:t xml:space="preserve">based on </w:t>
            </w:r>
            <w:r w:rsidR="00DA2967" w:rsidRPr="002F3AFE">
              <w:rPr>
                <w:rFonts w:ascii="Times New Roman" w:hAnsi="Times New Roman"/>
                <w:sz w:val="22"/>
                <w:szCs w:val="22"/>
              </w:rPr>
              <w:t xml:space="preserve">the </w:t>
            </w:r>
            <w:r w:rsidRPr="002F3AFE">
              <w:rPr>
                <w:rFonts w:ascii="Times New Roman" w:hAnsi="Times New Roman"/>
                <w:sz w:val="22"/>
                <w:szCs w:val="22"/>
              </w:rPr>
              <w:t xml:space="preserve">template included in Annex 3 of IG or </w:t>
            </w:r>
            <w:r w:rsidR="00DA2967" w:rsidRPr="002F3AFE">
              <w:rPr>
                <w:rFonts w:ascii="Times New Roman" w:hAnsi="Times New Roman"/>
                <w:sz w:val="22"/>
                <w:szCs w:val="22"/>
              </w:rPr>
              <w:t>(</w:t>
            </w:r>
            <w:r w:rsidRPr="002F3AFE">
              <w:rPr>
                <w:rFonts w:ascii="Times New Roman" w:hAnsi="Times New Roman"/>
                <w:sz w:val="22"/>
                <w:szCs w:val="22"/>
              </w:rPr>
              <w:t>updat</w:t>
            </w:r>
            <w:r w:rsidR="00DA2967" w:rsidRPr="002F3AFE">
              <w:rPr>
                <w:rFonts w:ascii="Times New Roman" w:hAnsi="Times New Roman"/>
                <w:sz w:val="22"/>
                <w:szCs w:val="22"/>
              </w:rPr>
              <w:t xml:space="preserve">ed template provided by CO) and submits it </w:t>
            </w:r>
            <w:r w:rsidRPr="002F3AFE">
              <w:rPr>
                <w:rFonts w:ascii="Times New Roman" w:hAnsi="Times New Roman"/>
                <w:sz w:val="22"/>
                <w:szCs w:val="22"/>
              </w:rPr>
              <w:t xml:space="preserve">to </w:t>
            </w:r>
            <w:r w:rsidR="00DA2967" w:rsidRPr="002F3AFE">
              <w:rPr>
                <w:rFonts w:ascii="Times New Roman" w:hAnsi="Times New Roman"/>
                <w:sz w:val="22"/>
                <w:szCs w:val="22"/>
              </w:rPr>
              <w:t xml:space="preserve">the </w:t>
            </w:r>
            <w:r w:rsidRPr="002F3AFE">
              <w:rPr>
                <w:rFonts w:ascii="Times New Roman" w:hAnsi="Times New Roman"/>
                <w:sz w:val="22"/>
                <w:szCs w:val="22"/>
              </w:rPr>
              <w:t xml:space="preserve">Consortium </w:t>
            </w:r>
            <w:r w:rsidRPr="002F3AFE">
              <w:rPr>
                <w:rFonts w:ascii="Times New Roman" w:hAnsi="Times New Roman"/>
                <w:b/>
                <w:sz w:val="22"/>
                <w:szCs w:val="22"/>
              </w:rPr>
              <w:t>by the end of February</w:t>
            </w:r>
            <w:r w:rsidRPr="002F3AFE">
              <w:rPr>
                <w:rFonts w:ascii="Times New Roman" w:hAnsi="Times New Roman"/>
                <w:sz w:val="22"/>
                <w:szCs w:val="22"/>
              </w:rPr>
              <w:t xml:space="preserve"> of </w:t>
            </w:r>
            <w:r w:rsidR="00DA2967" w:rsidRPr="002F3AFE">
              <w:rPr>
                <w:rFonts w:ascii="Times New Roman" w:hAnsi="Times New Roman"/>
                <w:sz w:val="22"/>
                <w:szCs w:val="22"/>
              </w:rPr>
              <w:t xml:space="preserve">the </w:t>
            </w:r>
            <w:r w:rsidRPr="002F3AFE">
              <w:rPr>
                <w:rFonts w:ascii="Times New Roman" w:hAnsi="Times New Roman"/>
                <w:sz w:val="22"/>
                <w:szCs w:val="22"/>
              </w:rPr>
              <w:t>following year</w:t>
            </w:r>
            <w:r w:rsidR="00DA2967" w:rsidRPr="002F3AFE">
              <w:rPr>
                <w:rFonts w:ascii="Times New Roman" w:hAnsi="Times New Roman"/>
                <w:sz w:val="22"/>
                <w:szCs w:val="22"/>
              </w:rPr>
              <w:t xml:space="preserve">. This report </w:t>
            </w:r>
            <w:r w:rsidR="00DA2967" w:rsidRPr="002F3AFE">
              <w:rPr>
                <w:rFonts w:ascii="Times New Roman" w:hAnsi="Times New Roman"/>
                <w:sz w:val="22"/>
                <w:szCs w:val="22"/>
              </w:rPr>
              <w:lastRenderedPageBreak/>
              <w:t xml:space="preserve">contains all the information listed in the template: Part I contains general information regarding the implementation of the Principles and Part II contains information and justifications for </w:t>
            </w:r>
            <w:r w:rsidR="00DA2967" w:rsidRPr="002F3AFE">
              <w:rPr>
                <w:rFonts w:ascii="Times New Roman" w:hAnsi="Times New Roman"/>
                <w:b/>
                <w:sz w:val="22"/>
                <w:szCs w:val="22"/>
              </w:rPr>
              <w:t xml:space="preserve">all </w:t>
            </w:r>
            <w:r w:rsidR="00DA2967" w:rsidRPr="002F3AFE">
              <w:rPr>
                <w:rFonts w:ascii="Times New Roman" w:hAnsi="Times New Roman"/>
                <w:sz w:val="22"/>
                <w:szCs w:val="22"/>
              </w:rPr>
              <w:t>Limited Exclusivity Agreements, Restricted Use Agreements and IP Applications concluded /made by the Center</w:t>
            </w:r>
            <w:r w:rsidR="00E675B3" w:rsidRPr="002F3AFE">
              <w:rPr>
                <w:rFonts w:ascii="Times New Roman" w:hAnsi="Times New Roman"/>
                <w:sz w:val="22"/>
                <w:szCs w:val="22"/>
              </w:rPr>
              <w:t>.</w:t>
            </w:r>
          </w:p>
        </w:tc>
        <w:tc>
          <w:tcPr>
            <w:tcW w:w="1842" w:type="dxa"/>
          </w:tcPr>
          <w:p w:rsidR="006F3859" w:rsidRPr="002F3AFE" w:rsidRDefault="006F3859" w:rsidP="00BB1AC2">
            <w:pPr>
              <w:ind w:right="-108"/>
              <w:rPr>
                <w:rFonts w:ascii="Times New Roman" w:hAnsi="Times New Roman"/>
                <w:sz w:val="22"/>
                <w:szCs w:val="22"/>
              </w:rPr>
            </w:pPr>
            <w:r w:rsidRPr="002F3AFE">
              <w:rPr>
                <w:rFonts w:ascii="Times New Roman" w:hAnsi="Times New Roman"/>
                <w:sz w:val="22"/>
                <w:szCs w:val="22"/>
              </w:rPr>
              <w:lastRenderedPageBreak/>
              <w:t xml:space="preserve">Art 10.1.2 Principles; Art. 10 </w:t>
            </w:r>
            <w:r w:rsidRPr="002F3AFE">
              <w:rPr>
                <w:rFonts w:ascii="Times New Roman" w:hAnsi="Times New Roman"/>
                <w:sz w:val="22"/>
                <w:szCs w:val="22"/>
              </w:rPr>
              <w:lastRenderedPageBreak/>
              <w:t>b) and Annex 3 IG</w:t>
            </w:r>
          </w:p>
        </w:tc>
        <w:tc>
          <w:tcPr>
            <w:tcW w:w="1027" w:type="dxa"/>
          </w:tcPr>
          <w:p w:rsidR="006F3859" w:rsidRPr="002F3AFE" w:rsidRDefault="006F3859" w:rsidP="00BB1AC2">
            <w:pPr>
              <w:rPr>
                <w:rFonts w:ascii="Times New Roman" w:hAnsi="Times New Roman"/>
                <w:b/>
                <w:sz w:val="22"/>
                <w:szCs w:val="22"/>
              </w:rPr>
            </w:pPr>
          </w:p>
        </w:tc>
      </w:tr>
      <w:tr w:rsidR="006F3859" w:rsidRPr="002F3AFE" w:rsidTr="00763A52">
        <w:trPr>
          <w:trHeight w:val="273"/>
          <w:jc w:val="center"/>
        </w:trPr>
        <w:tc>
          <w:tcPr>
            <w:tcW w:w="11307" w:type="dxa"/>
          </w:tcPr>
          <w:p w:rsidR="006F3859" w:rsidRPr="002F3AFE" w:rsidRDefault="006F3859" w:rsidP="00BB1AC2">
            <w:pPr>
              <w:rPr>
                <w:rFonts w:ascii="Times New Roman" w:hAnsi="Times New Roman"/>
                <w:sz w:val="22"/>
                <w:szCs w:val="22"/>
              </w:rPr>
            </w:pPr>
            <w:r w:rsidRPr="002F3AFE">
              <w:rPr>
                <w:rFonts w:ascii="Times New Roman" w:hAnsi="Times New Roman"/>
                <w:sz w:val="22"/>
                <w:szCs w:val="22"/>
              </w:rPr>
              <w:lastRenderedPageBreak/>
              <w:t xml:space="preserve">Center Board provides a written </w:t>
            </w:r>
            <w:r w:rsidRPr="002F3AFE">
              <w:rPr>
                <w:rFonts w:ascii="Times New Roman" w:hAnsi="Times New Roman"/>
                <w:b/>
                <w:sz w:val="22"/>
                <w:szCs w:val="22"/>
              </w:rPr>
              <w:t>assurance of compliance</w:t>
            </w:r>
            <w:r w:rsidRPr="002F3AFE">
              <w:rPr>
                <w:rFonts w:ascii="Times New Roman" w:hAnsi="Times New Roman"/>
                <w:sz w:val="22"/>
                <w:szCs w:val="22"/>
              </w:rPr>
              <w:t xml:space="preserve"> with the CGIAR IA Principles over preceding year </w:t>
            </w:r>
            <w:r w:rsidRPr="002F3AFE">
              <w:rPr>
                <w:rFonts w:ascii="Times New Roman" w:hAnsi="Times New Roman"/>
                <w:b/>
                <w:sz w:val="22"/>
                <w:szCs w:val="22"/>
              </w:rPr>
              <w:t xml:space="preserve">by the end of April </w:t>
            </w:r>
            <w:r w:rsidRPr="002F3AFE">
              <w:rPr>
                <w:rFonts w:ascii="Times New Roman" w:hAnsi="Times New Roman"/>
                <w:sz w:val="22"/>
                <w:szCs w:val="22"/>
              </w:rPr>
              <w:t>of following year (cf. Art 10 a) IG for recommended language for assurance of compliance)</w:t>
            </w:r>
          </w:p>
        </w:tc>
        <w:tc>
          <w:tcPr>
            <w:tcW w:w="1842" w:type="dxa"/>
          </w:tcPr>
          <w:p w:rsidR="006F3859" w:rsidRPr="002F3AFE" w:rsidRDefault="006F3859" w:rsidP="00BB1AC2">
            <w:pPr>
              <w:ind w:right="-108"/>
              <w:rPr>
                <w:rFonts w:ascii="Times New Roman" w:hAnsi="Times New Roman"/>
                <w:sz w:val="22"/>
                <w:szCs w:val="22"/>
              </w:rPr>
            </w:pPr>
            <w:r w:rsidRPr="002F3AFE">
              <w:rPr>
                <w:rFonts w:ascii="Times New Roman" w:hAnsi="Times New Roman"/>
                <w:sz w:val="22"/>
                <w:szCs w:val="22"/>
              </w:rPr>
              <w:t>Art. 10.1.1 Principles; Art 10 a) IG</w:t>
            </w:r>
          </w:p>
        </w:tc>
        <w:tc>
          <w:tcPr>
            <w:tcW w:w="1027" w:type="dxa"/>
          </w:tcPr>
          <w:p w:rsidR="006F3859" w:rsidRPr="002F3AFE" w:rsidRDefault="006F3859" w:rsidP="00BB1AC2">
            <w:pPr>
              <w:rPr>
                <w:rFonts w:ascii="Times New Roman" w:hAnsi="Times New Roman"/>
                <w:b/>
                <w:sz w:val="22"/>
                <w:szCs w:val="22"/>
              </w:rPr>
            </w:pPr>
          </w:p>
        </w:tc>
      </w:tr>
      <w:tr w:rsidR="006F3859" w:rsidRPr="002F3AFE" w:rsidTr="00763A52">
        <w:trPr>
          <w:trHeight w:val="273"/>
          <w:jc w:val="center"/>
        </w:trPr>
        <w:tc>
          <w:tcPr>
            <w:tcW w:w="11307" w:type="dxa"/>
            <w:shd w:val="clear" w:color="auto" w:fill="D9D9D9" w:themeFill="background1" w:themeFillShade="D9"/>
          </w:tcPr>
          <w:p w:rsidR="006F3859" w:rsidRPr="002F3AFE" w:rsidRDefault="009D3EA1" w:rsidP="00BB1AC2">
            <w:pPr>
              <w:rPr>
                <w:rFonts w:ascii="Times New Roman" w:hAnsi="Times New Roman"/>
                <w:b/>
                <w:sz w:val="22"/>
                <w:szCs w:val="22"/>
              </w:rPr>
            </w:pPr>
            <w:r w:rsidRPr="002F3AFE">
              <w:rPr>
                <w:rFonts w:ascii="Times New Roman" w:hAnsi="Times New Roman"/>
                <w:b/>
                <w:color w:val="0070C0"/>
                <w:sz w:val="22"/>
                <w:szCs w:val="22"/>
              </w:rPr>
              <w:t>8</w:t>
            </w:r>
            <w:r w:rsidR="006F3859" w:rsidRPr="002F3AFE">
              <w:rPr>
                <w:rFonts w:ascii="Times New Roman" w:hAnsi="Times New Roman"/>
                <w:b/>
                <w:color w:val="0070C0"/>
                <w:sz w:val="22"/>
                <w:szCs w:val="22"/>
              </w:rPr>
              <w:t>. Public disclosure</w:t>
            </w:r>
          </w:p>
        </w:tc>
        <w:tc>
          <w:tcPr>
            <w:tcW w:w="1842" w:type="dxa"/>
            <w:shd w:val="clear" w:color="auto" w:fill="D9D9D9" w:themeFill="background1" w:themeFillShade="D9"/>
          </w:tcPr>
          <w:p w:rsidR="006F3859" w:rsidRPr="002F3AFE" w:rsidRDefault="006F3859" w:rsidP="00BB1AC2">
            <w:pPr>
              <w:ind w:right="-108"/>
              <w:rPr>
                <w:rFonts w:ascii="Times New Roman" w:hAnsi="Times New Roman"/>
                <w:b/>
                <w:sz w:val="22"/>
                <w:szCs w:val="22"/>
              </w:rPr>
            </w:pPr>
          </w:p>
        </w:tc>
        <w:tc>
          <w:tcPr>
            <w:tcW w:w="1027" w:type="dxa"/>
            <w:shd w:val="clear" w:color="auto" w:fill="D9D9D9" w:themeFill="background1" w:themeFillShade="D9"/>
          </w:tcPr>
          <w:p w:rsidR="006F3859" w:rsidRPr="002F3AFE" w:rsidRDefault="006F3859" w:rsidP="00BB1AC2">
            <w:pPr>
              <w:rPr>
                <w:rFonts w:ascii="Times New Roman" w:hAnsi="Times New Roman"/>
                <w:b/>
                <w:sz w:val="22"/>
                <w:szCs w:val="22"/>
              </w:rPr>
            </w:pPr>
          </w:p>
        </w:tc>
      </w:tr>
      <w:tr w:rsidR="006F3859" w:rsidRPr="002F3AFE" w:rsidTr="00763A52">
        <w:trPr>
          <w:trHeight w:val="273"/>
          <w:jc w:val="center"/>
        </w:trPr>
        <w:tc>
          <w:tcPr>
            <w:tcW w:w="11307" w:type="dxa"/>
          </w:tcPr>
          <w:p w:rsidR="006F3859" w:rsidRPr="002F3AFE" w:rsidRDefault="006F3859" w:rsidP="00BB1AC2">
            <w:pPr>
              <w:rPr>
                <w:rFonts w:ascii="Times New Roman" w:hAnsi="Times New Roman"/>
                <w:sz w:val="22"/>
                <w:szCs w:val="22"/>
              </w:rPr>
            </w:pPr>
            <w:r w:rsidRPr="002F3AFE">
              <w:rPr>
                <w:rFonts w:ascii="Times New Roman" w:hAnsi="Times New Roman"/>
                <w:sz w:val="22"/>
                <w:szCs w:val="22"/>
              </w:rPr>
              <w:t xml:space="preserve">Center includes appropriate information in </w:t>
            </w:r>
            <w:r w:rsidRPr="002F3AFE">
              <w:rPr>
                <w:rFonts w:ascii="Times New Roman" w:hAnsi="Times New Roman"/>
                <w:b/>
                <w:sz w:val="22"/>
                <w:szCs w:val="22"/>
              </w:rPr>
              <w:t>non-confidential part of Center IA Report</w:t>
            </w:r>
            <w:r w:rsidRPr="002F3AFE">
              <w:rPr>
                <w:rFonts w:ascii="Times New Roman" w:hAnsi="Times New Roman"/>
                <w:sz w:val="22"/>
                <w:szCs w:val="22"/>
              </w:rPr>
              <w:t xml:space="preserve"> (cf. template in Annex 3 of IG)</w:t>
            </w:r>
          </w:p>
        </w:tc>
        <w:tc>
          <w:tcPr>
            <w:tcW w:w="1842" w:type="dxa"/>
          </w:tcPr>
          <w:p w:rsidR="006F3859" w:rsidRPr="002F3AFE" w:rsidRDefault="006F3859" w:rsidP="00BB1AC2">
            <w:pPr>
              <w:ind w:right="-108"/>
              <w:rPr>
                <w:rFonts w:ascii="Times New Roman" w:hAnsi="Times New Roman"/>
                <w:sz w:val="22"/>
                <w:szCs w:val="22"/>
              </w:rPr>
            </w:pPr>
            <w:r w:rsidRPr="002F3AFE">
              <w:rPr>
                <w:rFonts w:ascii="Times New Roman" w:hAnsi="Times New Roman"/>
                <w:sz w:val="22"/>
                <w:szCs w:val="22"/>
              </w:rPr>
              <w:t>Art 10.1.2 Principles; Annex 3 IG</w:t>
            </w:r>
          </w:p>
        </w:tc>
        <w:tc>
          <w:tcPr>
            <w:tcW w:w="1027" w:type="dxa"/>
          </w:tcPr>
          <w:p w:rsidR="006F3859" w:rsidRPr="002F3AFE" w:rsidRDefault="006F3859" w:rsidP="00BB1AC2">
            <w:pPr>
              <w:rPr>
                <w:rFonts w:ascii="Times New Roman" w:hAnsi="Times New Roman"/>
                <w:b/>
                <w:sz w:val="22"/>
                <w:szCs w:val="22"/>
              </w:rPr>
            </w:pPr>
          </w:p>
        </w:tc>
      </w:tr>
      <w:tr w:rsidR="006F3859" w:rsidRPr="002F3AFE" w:rsidTr="00763A52">
        <w:trPr>
          <w:trHeight w:val="273"/>
          <w:jc w:val="center"/>
        </w:trPr>
        <w:tc>
          <w:tcPr>
            <w:tcW w:w="11307" w:type="dxa"/>
          </w:tcPr>
          <w:p w:rsidR="006F3859" w:rsidRPr="002F3AFE" w:rsidRDefault="006F3859" w:rsidP="00EB465E">
            <w:pPr>
              <w:rPr>
                <w:rFonts w:ascii="Times New Roman" w:hAnsi="Times New Roman"/>
                <w:sz w:val="22"/>
                <w:szCs w:val="22"/>
              </w:rPr>
            </w:pPr>
            <w:r w:rsidRPr="002F3AFE">
              <w:rPr>
                <w:rFonts w:ascii="Times New Roman" w:hAnsi="Times New Roman"/>
                <w:sz w:val="22"/>
                <w:szCs w:val="22"/>
              </w:rPr>
              <w:t xml:space="preserve">Centers IA </w:t>
            </w:r>
            <w:r w:rsidRPr="002F3AFE">
              <w:rPr>
                <w:rFonts w:ascii="Times New Roman" w:hAnsi="Times New Roman"/>
                <w:b/>
                <w:sz w:val="22"/>
                <w:szCs w:val="22"/>
              </w:rPr>
              <w:t>policies and practices</w:t>
            </w:r>
            <w:r w:rsidRPr="002F3AFE">
              <w:rPr>
                <w:rFonts w:ascii="Times New Roman" w:hAnsi="Times New Roman"/>
                <w:sz w:val="22"/>
                <w:szCs w:val="22"/>
              </w:rPr>
              <w:t xml:space="preserve"> are made public</w:t>
            </w:r>
          </w:p>
        </w:tc>
        <w:tc>
          <w:tcPr>
            <w:tcW w:w="1842" w:type="dxa"/>
          </w:tcPr>
          <w:p w:rsidR="006F3859" w:rsidRPr="002F3AFE" w:rsidRDefault="006F3859" w:rsidP="00BB1AC2">
            <w:pPr>
              <w:ind w:right="-108"/>
              <w:rPr>
                <w:rFonts w:ascii="Times New Roman" w:hAnsi="Times New Roman"/>
                <w:b/>
                <w:sz w:val="22"/>
                <w:szCs w:val="22"/>
              </w:rPr>
            </w:pPr>
            <w:r w:rsidRPr="002F3AFE">
              <w:rPr>
                <w:rFonts w:ascii="Times New Roman" w:hAnsi="Times New Roman"/>
                <w:sz w:val="22"/>
                <w:szCs w:val="22"/>
              </w:rPr>
              <w:t>Art 9.2 Principles; Art 5 k) IG</w:t>
            </w:r>
          </w:p>
        </w:tc>
        <w:tc>
          <w:tcPr>
            <w:tcW w:w="1027" w:type="dxa"/>
          </w:tcPr>
          <w:p w:rsidR="006F3859" w:rsidRPr="002F3AFE" w:rsidRDefault="006F3859" w:rsidP="00BB1AC2">
            <w:pPr>
              <w:rPr>
                <w:rFonts w:ascii="Times New Roman" w:hAnsi="Times New Roman"/>
                <w:b/>
                <w:sz w:val="22"/>
                <w:szCs w:val="22"/>
              </w:rPr>
            </w:pPr>
          </w:p>
        </w:tc>
      </w:tr>
      <w:tr w:rsidR="006F3859" w:rsidRPr="002F3AFE" w:rsidTr="00763A52">
        <w:trPr>
          <w:trHeight w:val="273"/>
          <w:jc w:val="center"/>
        </w:trPr>
        <w:tc>
          <w:tcPr>
            <w:tcW w:w="11307" w:type="dxa"/>
          </w:tcPr>
          <w:p w:rsidR="006F3859" w:rsidRPr="002F3AFE" w:rsidRDefault="006F3859" w:rsidP="00BB1AC2">
            <w:pPr>
              <w:rPr>
                <w:rFonts w:ascii="Times New Roman" w:hAnsi="Times New Roman"/>
                <w:b/>
                <w:sz w:val="22"/>
                <w:szCs w:val="22"/>
              </w:rPr>
            </w:pPr>
            <w:r w:rsidRPr="002F3AFE">
              <w:rPr>
                <w:rFonts w:ascii="Times New Roman" w:hAnsi="Times New Roman"/>
                <w:iCs/>
                <w:sz w:val="22"/>
                <w:szCs w:val="22"/>
              </w:rPr>
              <w:t xml:space="preserve">Center has used its best efforts to make publicly available </w:t>
            </w:r>
            <w:r w:rsidRPr="002F3AFE">
              <w:rPr>
                <w:rFonts w:ascii="Times New Roman" w:hAnsi="Times New Roman"/>
                <w:b/>
                <w:iCs/>
                <w:sz w:val="22"/>
                <w:szCs w:val="22"/>
              </w:rPr>
              <w:t xml:space="preserve">key information regarding the </w:t>
            </w:r>
            <w:r w:rsidRPr="002F3AFE">
              <w:rPr>
                <w:rFonts w:ascii="Times New Roman" w:hAnsi="Times New Roman"/>
                <w:b/>
                <w:sz w:val="22"/>
                <w:szCs w:val="22"/>
              </w:rPr>
              <w:t>Limited Exclusivity Agreements and Restricted Use Agreements</w:t>
            </w:r>
            <w:r w:rsidRPr="002F3AFE">
              <w:rPr>
                <w:rFonts w:ascii="Times New Roman" w:hAnsi="Times New Roman"/>
                <w:sz w:val="22"/>
                <w:szCs w:val="22"/>
              </w:rPr>
              <w:t xml:space="preserve"> it has concluded and has provided </w:t>
            </w:r>
            <w:r w:rsidRPr="002F3AFE">
              <w:rPr>
                <w:rFonts w:ascii="Times New Roman" w:hAnsi="Times New Roman"/>
                <w:iCs/>
                <w:sz w:val="22"/>
                <w:szCs w:val="22"/>
              </w:rPr>
              <w:t>links to, or copies of, such key information, to the CO</w:t>
            </w:r>
          </w:p>
        </w:tc>
        <w:tc>
          <w:tcPr>
            <w:tcW w:w="1842" w:type="dxa"/>
          </w:tcPr>
          <w:p w:rsidR="006F3859" w:rsidRPr="002F3AFE" w:rsidRDefault="006F3859" w:rsidP="00BB1AC2">
            <w:pPr>
              <w:ind w:right="-108"/>
              <w:rPr>
                <w:rFonts w:ascii="Times New Roman" w:hAnsi="Times New Roman"/>
                <w:sz w:val="22"/>
                <w:szCs w:val="22"/>
              </w:rPr>
            </w:pPr>
            <w:r w:rsidRPr="002F3AFE">
              <w:rPr>
                <w:rFonts w:ascii="Times New Roman" w:hAnsi="Times New Roman"/>
                <w:sz w:val="22"/>
                <w:szCs w:val="22"/>
              </w:rPr>
              <w:t>Art 10.4 Principles and Art 10.4 d) IG</w:t>
            </w:r>
          </w:p>
        </w:tc>
        <w:tc>
          <w:tcPr>
            <w:tcW w:w="1027" w:type="dxa"/>
          </w:tcPr>
          <w:p w:rsidR="006F3859" w:rsidRPr="002F3AFE" w:rsidRDefault="006F3859" w:rsidP="00BB1AC2">
            <w:pPr>
              <w:rPr>
                <w:rFonts w:ascii="Times New Roman" w:hAnsi="Times New Roman"/>
                <w:b/>
                <w:sz w:val="22"/>
                <w:szCs w:val="22"/>
              </w:rPr>
            </w:pPr>
          </w:p>
        </w:tc>
      </w:tr>
      <w:tr w:rsidR="006F3859" w:rsidRPr="002F3AFE" w:rsidTr="00763A52">
        <w:trPr>
          <w:trHeight w:val="273"/>
          <w:jc w:val="center"/>
        </w:trPr>
        <w:tc>
          <w:tcPr>
            <w:tcW w:w="11307" w:type="dxa"/>
            <w:shd w:val="clear" w:color="auto" w:fill="D9D9D9" w:themeFill="background1" w:themeFillShade="D9"/>
          </w:tcPr>
          <w:p w:rsidR="006F3859" w:rsidRPr="002F3AFE" w:rsidRDefault="009D3EA1" w:rsidP="00BB1AC2">
            <w:pPr>
              <w:rPr>
                <w:rFonts w:ascii="Times New Roman" w:hAnsi="Times New Roman"/>
                <w:b/>
                <w:sz w:val="22"/>
                <w:szCs w:val="22"/>
              </w:rPr>
            </w:pPr>
            <w:r w:rsidRPr="002F3AFE">
              <w:rPr>
                <w:rFonts w:ascii="Times New Roman" w:hAnsi="Times New Roman"/>
                <w:b/>
                <w:color w:val="0070C0"/>
                <w:sz w:val="22"/>
                <w:szCs w:val="22"/>
              </w:rPr>
              <w:t>9</w:t>
            </w:r>
            <w:r w:rsidR="006F3859" w:rsidRPr="002F3AFE">
              <w:rPr>
                <w:rFonts w:ascii="Times New Roman" w:hAnsi="Times New Roman"/>
                <w:b/>
                <w:color w:val="0070C0"/>
                <w:sz w:val="22"/>
                <w:szCs w:val="22"/>
              </w:rPr>
              <w:t>. Center capacity</w:t>
            </w:r>
          </w:p>
        </w:tc>
        <w:tc>
          <w:tcPr>
            <w:tcW w:w="1842" w:type="dxa"/>
            <w:shd w:val="clear" w:color="auto" w:fill="D9D9D9" w:themeFill="background1" w:themeFillShade="D9"/>
          </w:tcPr>
          <w:p w:rsidR="006F3859" w:rsidRPr="002F3AFE" w:rsidRDefault="006F3859" w:rsidP="00BB1AC2">
            <w:pPr>
              <w:ind w:right="-108"/>
              <w:rPr>
                <w:rFonts w:ascii="Times New Roman" w:hAnsi="Times New Roman"/>
                <w:b/>
                <w:sz w:val="22"/>
                <w:szCs w:val="22"/>
              </w:rPr>
            </w:pPr>
          </w:p>
        </w:tc>
        <w:tc>
          <w:tcPr>
            <w:tcW w:w="1027" w:type="dxa"/>
            <w:shd w:val="clear" w:color="auto" w:fill="D9D9D9" w:themeFill="background1" w:themeFillShade="D9"/>
          </w:tcPr>
          <w:p w:rsidR="006F3859" w:rsidRPr="002F3AFE" w:rsidRDefault="006F3859" w:rsidP="00BB1AC2">
            <w:pPr>
              <w:rPr>
                <w:rFonts w:ascii="Times New Roman" w:hAnsi="Times New Roman"/>
                <w:b/>
                <w:sz w:val="22"/>
                <w:szCs w:val="22"/>
              </w:rPr>
            </w:pPr>
          </w:p>
        </w:tc>
      </w:tr>
      <w:tr w:rsidR="006F3859" w:rsidRPr="002F3AFE" w:rsidTr="00763A52">
        <w:trPr>
          <w:trHeight w:val="273"/>
          <w:jc w:val="center"/>
        </w:trPr>
        <w:tc>
          <w:tcPr>
            <w:tcW w:w="11307" w:type="dxa"/>
          </w:tcPr>
          <w:p w:rsidR="006F3859" w:rsidRPr="002F3AFE" w:rsidRDefault="006F3859" w:rsidP="00BB1AC2">
            <w:pPr>
              <w:rPr>
                <w:rFonts w:ascii="Times New Roman" w:hAnsi="Times New Roman"/>
                <w:sz w:val="22"/>
                <w:szCs w:val="22"/>
              </w:rPr>
            </w:pPr>
            <w:r w:rsidRPr="002F3AFE">
              <w:rPr>
                <w:rFonts w:ascii="Times New Roman" w:hAnsi="Times New Roman"/>
                <w:sz w:val="22"/>
                <w:szCs w:val="22"/>
              </w:rPr>
              <w:t xml:space="preserve">Center has the </w:t>
            </w:r>
            <w:r w:rsidRPr="002F3AFE">
              <w:rPr>
                <w:rFonts w:ascii="Times New Roman" w:hAnsi="Times New Roman"/>
                <w:b/>
                <w:sz w:val="22"/>
                <w:szCs w:val="22"/>
              </w:rPr>
              <w:t xml:space="preserve">capacity (staff or consultants) </w:t>
            </w:r>
            <w:r w:rsidRPr="002F3AFE">
              <w:rPr>
                <w:rFonts w:ascii="Times New Roman" w:hAnsi="Times New Roman"/>
                <w:sz w:val="22"/>
                <w:szCs w:val="22"/>
              </w:rPr>
              <w:t xml:space="preserve">required for the proper implementation of the Principles and an officially-designated </w:t>
            </w:r>
            <w:r w:rsidRPr="002F3AFE">
              <w:rPr>
                <w:rFonts w:ascii="Times New Roman" w:hAnsi="Times New Roman"/>
                <w:b/>
                <w:sz w:val="22"/>
                <w:szCs w:val="22"/>
              </w:rPr>
              <w:t>IP focal point</w:t>
            </w:r>
          </w:p>
        </w:tc>
        <w:tc>
          <w:tcPr>
            <w:tcW w:w="1842" w:type="dxa"/>
          </w:tcPr>
          <w:p w:rsidR="006F3859" w:rsidRPr="002F3AFE" w:rsidRDefault="006F3859" w:rsidP="00BB1AC2">
            <w:pPr>
              <w:ind w:right="-108"/>
              <w:rPr>
                <w:rFonts w:ascii="Times New Roman" w:hAnsi="Times New Roman"/>
                <w:sz w:val="22"/>
                <w:szCs w:val="22"/>
              </w:rPr>
            </w:pPr>
            <w:r w:rsidRPr="002F3AFE">
              <w:rPr>
                <w:rFonts w:ascii="Times New Roman" w:hAnsi="Times New Roman"/>
                <w:sz w:val="22"/>
                <w:szCs w:val="22"/>
              </w:rPr>
              <w:t>Article 8.1 Principles and Art. 8 a) IG</w:t>
            </w:r>
          </w:p>
        </w:tc>
        <w:tc>
          <w:tcPr>
            <w:tcW w:w="1027" w:type="dxa"/>
          </w:tcPr>
          <w:p w:rsidR="006F3859" w:rsidRPr="002F3AFE" w:rsidRDefault="006F3859" w:rsidP="00BB1AC2">
            <w:pPr>
              <w:rPr>
                <w:rFonts w:ascii="Times New Roman" w:hAnsi="Times New Roman"/>
                <w:b/>
                <w:sz w:val="22"/>
                <w:szCs w:val="22"/>
              </w:rPr>
            </w:pPr>
          </w:p>
        </w:tc>
      </w:tr>
    </w:tbl>
    <w:p w:rsidR="006F3859" w:rsidRPr="00CC0C88" w:rsidRDefault="006F3859" w:rsidP="006F3859">
      <w:pPr>
        <w:rPr>
          <w:rFonts w:ascii="Times New Roman" w:hAnsi="Times New Roman"/>
          <w:sz w:val="22"/>
          <w:szCs w:val="22"/>
        </w:rPr>
      </w:pPr>
    </w:p>
    <w:p w:rsidR="006F3859" w:rsidRPr="006F3859" w:rsidRDefault="006F3859" w:rsidP="006F3859">
      <w:pPr>
        <w:rPr>
          <w:szCs w:val="22"/>
        </w:rPr>
      </w:pPr>
    </w:p>
    <w:sectPr w:rsidR="006F3859" w:rsidRPr="006F3859" w:rsidSect="006F3859">
      <w:headerReference w:type="default" r:id="rId8"/>
      <w:footerReference w:type="default" r:id="rId9"/>
      <w:pgSz w:w="16838" w:h="11906" w:orient="landscape"/>
      <w:pgMar w:top="1416" w:right="1134" w:bottom="1418" w:left="2104" w:header="709" w:footer="391"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C2487" w:rsidRDefault="006C2487" w:rsidP="007660E6">
      <w:r>
        <w:separator/>
      </w:r>
    </w:p>
  </w:endnote>
  <w:endnote w:type="continuationSeparator" w:id="0">
    <w:p w:rsidR="006C2487" w:rsidRDefault="006C2487" w:rsidP="007660E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00"/>
    <w:family w:val="modern"/>
    <w:pitch w:val="fixed"/>
    <w:sig w:usb0="E10002FF" w:usb1="4000F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42B2" w:rsidRDefault="007A5293">
    <w:pPr>
      <w:pStyle w:val="Footer"/>
      <w:jc w:val="right"/>
    </w:pPr>
    <w:r>
      <w:fldChar w:fldCharType="begin"/>
    </w:r>
    <w:r w:rsidR="00A5754D">
      <w:instrText xml:space="preserve"> PAGE   \* MERGEFORMAT </w:instrText>
    </w:r>
    <w:r>
      <w:fldChar w:fldCharType="separate"/>
    </w:r>
    <w:r w:rsidR="0029267B">
      <w:rPr>
        <w:noProof/>
      </w:rPr>
      <w:t>2</w:t>
    </w:r>
    <w:r>
      <w:rPr>
        <w:noProof/>
      </w:rPr>
      <w:fldChar w:fldCharType="end"/>
    </w:r>
  </w:p>
  <w:p w:rsidR="00AC42B2" w:rsidRPr="00891E92" w:rsidRDefault="00AC42B2" w:rsidP="007660E6">
    <w:pPr>
      <w:pStyle w:val="Footer"/>
      <w:pBdr>
        <w:top w:val="single" w:sz="4" w:space="1" w:color="427731"/>
      </w:pBdr>
      <w:spacing w:before="120"/>
      <w:ind w:left="-567"/>
      <w:jc w:val="center"/>
      <w:rPr>
        <w:rFonts w:ascii="Arial" w:hAnsi="Arial" w:cs="Arial"/>
        <w:color w:val="427731"/>
        <w:sz w:val="18"/>
        <w:szCs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C2487" w:rsidRDefault="006C2487" w:rsidP="007660E6">
      <w:r>
        <w:separator/>
      </w:r>
    </w:p>
  </w:footnote>
  <w:footnote w:type="continuationSeparator" w:id="0">
    <w:p w:rsidR="006C2487" w:rsidRDefault="006C2487" w:rsidP="007660E6">
      <w:r>
        <w:continuationSeparator/>
      </w:r>
    </w:p>
  </w:footnote>
  <w:footnote w:id="1">
    <w:p w:rsidR="009D3EA1" w:rsidRPr="0044256B" w:rsidRDefault="009D3EA1">
      <w:pPr>
        <w:pStyle w:val="FootnoteText"/>
        <w:rPr>
          <w:sz w:val="18"/>
          <w:szCs w:val="18"/>
        </w:rPr>
      </w:pPr>
      <w:r w:rsidRPr="0044256B">
        <w:rPr>
          <w:rStyle w:val="FootnoteReference"/>
          <w:sz w:val="18"/>
          <w:szCs w:val="18"/>
        </w:rPr>
        <w:footnoteRef/>
      </w:r>
      <w:r w:rsidRPr="0044256B">
        <w:rPr>
          <w:sz w:val="18"/>
          <w:szCs w:val="18"/>
        </w:rPr>
        <w:t xml:space="preserve"> i.e. a</w:t>
      </w:r>
      <w:r w:rsidRPr="00E1030C">
        <w:rPr>
          <w:sz w:val="18"/>
          <w:szCs w:val="18"/>
        </w:rPr>
        <w:t>greements that affect the way research results will be disseminated</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42B2" w:rsidRPr="001E7842" w:rsidRDefault="00AC42B2" w:rsidP="00B44125">
    <w:pPr>
      <w:pStyle w:val="Header"/>
      <w:ind w:left="-1134"/>
      <w:jc w:val="right"/>
      <w:rPr>
        <w:rFonts w:ascii="Times New Roman" w:hAnsi="Times New Roman"/>
        <w:i/>
        <w:lang w:val="en-US"/>
      </w:rPr>
    </w:pPr>
    <w:r w:rsidRPr="001E7842">
      <w:rPr>
        <w:i/>
        <w:noProof/>
        <w:lang w:eastAsia="fr-FR"/>
      </w:rPr>
      <w:drawing>
        <wp:anchor distT="0" distB="0" distL="114300" distR="114300" simplePos="0" relativeHeight="251659776" behindDoc="0" locked="0" layoutInCell="1" allowOverlap="1">
          <wp:simplePos x="0" y="0"/>
          <wp:positionH relativeFrom="column">
            <wp:posOffset>-747395</wp:posOffset>
          </wp:positionH>
          <wp:positionV relativeFrom="paragraph">
            <wp:posOffset>-3810</wp:posOffset>
          </wp:positionV>
          <wp:extent cx="2167255" cy="962025"/>
          <wp:effectExtent l="19050" t="0" r="4445" b="0"/>
          <wp:wrapNone/>
          <wp:docPr id="2" name="Picture 0" descr="Description: CGIAR logo consortiu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Description: CGIAR logo consortium.jpg"/>
                  <pic:cNvPicPr>
                    <a:picLocks noChangeAspect="1" noChangeArrowheads="1"/>
                  </pic:cNvPicPr>
                </pic:nvPicPr>
                <pic:blipFill>
                  <a:blip r:embed="rId1"/>
                  <a:srcRect/>
                  <a:stretch>
                    <a:fillRect/>
                  </a:stretch>
                </pic:blipFill>
                <pic:spPr bwMode="auto">
                  <a:xfrm>
                    <a:off x="0" y="0"/>
                    <a:ext cx="2167255" cy="962025"/>
                  </a:xfrm>
                  <a:prstGeom prst="rect">
                    <a:avLst/>
                  </a:prstGeom>
                  <a:noFill/>
                  <a:ln w="9525">
                    <a:noFill/>
                    <a:miter lim="800000"/>
                    <a:headEnd/>
                    <a:tailEnd/>
                  </a:ln>
                </pic:spPr>
              </pic:pic>
            </a:graphicData>
          </a:graphic>
        </wp:anchor>
      </w:drawing>
    </w:r>
    <w:r w:rsidR="007A5293">
      <w:rPr>
        <w:i/>
        <w:noProof/>
        <w:lang w:val="en-US" w:eastAsia="fr-FR"/>
      </w:rPr>
      <w:fldChar w:fldCharType="begin"/>
    </w:r>
    <w:r w:rsidR="00BA5870">
      <w:rPr>
        <w:i/>
        <w:noProof/>
        <w:lang w:val="en-US" w:eastAsia="fr-FR"/>
      </w:rPr>
      <w:instrText xml:space="preserve"> DATE \@ "d-MMM-yy" </w:instrText>
    </w:r>
    <w:r w:rsidR="007A5293">
      <w:rPr>
        <w:i/>
        <w:noProof/>
        <w:lang w:val="en-US" w:eastAsia="fr-FR"/>
      </w:rPr>
      <w:fldChar w:fldCharType="separate"/>
    </w:r>
    <w:r w:rsidR="0029267B">
      <w:rPr>
        <w:i/>
        <w:noProof/>
        <w:lang w:val="en-US" w:eastAsia="fr-FR"/>
      </w:rPr>
      <w:t>28-Jan-14</w:t>
    </w:r>
    <w:r w:rsidR="007A5293">
      <w:rPr>
        <w:i/>
        <w:noProof/>
        <w:lang w:val="en-US" w:eastAsia="fr-FR"/>
      </w:rPr>
      <w:fldChar w:fldCharType="end"/>
    </w:r>
    <w:r w:rsidR="006F3859" w:rsidRPr="006F3859">
      <w:rPr>
        <w:i/>
        <w:noProof/>
        <w:lang w:val="en-US" w:eastAsia="fr-FR"/>
      </w:rPr>
      <w:t xml:space="preserve"> </w:t>
    </w:r>
  </w:p>
  <w:p w:rsidR="00AC42B2" w:rsidRDefault="00AC42B2" w:rsidP="007660E6">
    <w:pPr>
      <w:pStyle w:val="Header"/>
      <w:ind w:left="-1134"/>
      <w:jc w:val="right"/>
      <w:rPr>
        <w:rFonts w:ascii="Times New Roman" w:hAnsi="Times New Roman"/>
        <w:lang w:val="en-US"/>
      </w:rPr>
    </w:pPr>
  </w:p>
  <w:p w:rsidR="006F3859" w:rsidRDefault="006F3859" w:rsidP="007660E6">
    <w:pPr>
      <w:pStyle w:val="Header"/>
      <w:ind w:left="-1134"/>
      <w:jc w:val="right"/>
      <w:rPr>
        <w:rFonts w:ascii="Times New Roman" w:hAnsi="Times New Roman"/>
        <w:lang w:val="en-US"/>
      </w:rPr>
    </w:pPr>
  </w:p>
  <w:p w:rsidR="006F3859" w:rsidRDefault="006F3859" w:rsidP="007660E6">
    <w:pPr>
      <w:pStyle w:val="Header"/>
      <w:ind w:left="-1134"/>
      <w:jc w:val="right"/>
      <w:rPr>
        <w:rFonts w:ascii="Times New Roman" w:hAnsi="Times New Roman"/>
        <w:lang w:val="en-US"/>
      </w:rPr>
    </w:pPr>
  </w:p>
  <w:p w:rsidR="006F3859" w:rsidRDefault="006F3859" w:rsidP="007660E6">
    <w:pPr>
      <w:pStyle w:val="Header"/>
      <w:ind w:left="-1134"/>
      <w:jc w:val="right"/>
      <w:rPr>
        <w:rFonts w:ascii="Times New Roman" w:hAnsi="Times New Roman"/>
        <w:lang w:val="en-US"/>
      </w:rPr>
    </w:pPr>
  </w:p>
  <w:p w:rsidR="006F3859" w:rsidRPr="002133C0" w:rsidRDefault="006F3859" w:rsidP="007660E6">
    <w:pPr>
      <w:pStyle w:val="Header"/>
      <w:ind w:left="-1134"/>
      <w:jc w:val="right"/>
      <w:rPr>
        <w:rFonts w:ascii="Times New Roman" w:hAnsi="Times New Roman"/>
        <w:lang w:val="en-US"/>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2A40E8"/>
    <w:multiLevelType w:val="hybridMultilevel"/>
    <w:tmpl w:val="8F5AF402"/>
    <w:lvl w:ilvl="0" w:tplc="040C0001">
      <w:start w:val="1"/>
      <w:numFmt w:val="bullet"/>
      <w:lvlText w:val=""/>
      <w:lvlJc w:val="left"/>
      <w:pPr>
        <w:ind w:left="927" w:hanging="360"/>
      </w:pPr>
      <w:rPr>
        <w:rFonts w:ascii="Symbol" w:hAnsi="Symbol" w:hint="default"/>
      </w:rPr>
    </w:lvl>
    <w:lvl w:ilvl="1" w:tplc="040C0003" w:tentative="1">
      <w:start w:val="1"/>
      <w:numFmt w:val="bullet"/>
      <w:lvlText w:val="o"/>
      <w:lvlJc w:val="left"/>
      <w:pPr>
        <w:ind w:left="1647" w:hanging="360"/>
      </w:pPr>
      <w:rPr>
        <w:rFonts w:ascii="Courier New" w:hAnsi="Courier New" w:cs="Helvetica"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Helvetica"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Helvetica" w:hint="default"/>
      </w:rPr>
    </w:lvl>
    <w:lvl w:ilvl="8" w:tplc="040C0005" w:tentative="1">
      <w:start w:val="1"/>
      <w:numFmt w:val="bullet"/>
      <w:lvlText w:val=""/>
      <w:lvlJc w:val="left"/>
      <w:pPr>
        <w:ind w:left="6687" w:hanging="360"/>
      </w:pPr>
      <w:rPr>
        <w:rFonts w:ascii="Wingdings" w:hAnsi="Wingdings" w:hint="default"/>
      </w:rPr>
    </w:lvl>
  </w:abstractNum>
  <w:abstractNum w:abstractNumId="1">
    <w:nsid w:val="0DC5643E"/>
    <w:multiLevelType w:val="hybridMultilevel"/>
    <w:tmpl w:val="2FF64396"/>
    <w:lvl w:ilvl="0" w:tplc="AD065690">
      <w:start w:val="2"/>
      <w:numFmt w:val="bullet"/>
      <w:lvlText w:val="-"/>
      <w:lvlJc w:val="left"/>
      <w:pPr>
        <w:ind w:left="720" w:hanging="360"/>
      </w:pPr>
      <w:rPr>
        <w:rFonts w:ascii="Times New Roman" w:eastAsia="Helvetica" w:hAnsi="Times New Roman" w:cs="Times New Roman" w:hint="default"/>
      </w:rPr>
    </w:lvl>
    <w:lvl w:ilvl="1" w:tplc="040C0003">
      <w:start w:val="1"/>
      <w:numFmt w:val="bullet"/>
      <w:lvlText w:val="o"/>
      <w:lvlJc w:val="left"/>
      <w:pPr>
        <w:ind w:left="1440" w:hanging="360"/>
      </w:pPr>
      <w:rPr>
        <w:rFonts w:ascii="Courier New" w:hAnsi="Courier New" w:cs="Helvetica"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Helvetica"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Helvetica"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0E417C4F"/>
    <w:multiLevelType w:val="hybridMultilevel"/>
    <w:tmpl w:val="6CFC9956"/>
    <w:lvl w:ilvl="0" w:tplc="DD46649E">
      <w:start w:val="1"/>
      <w:numFmt w:val="lowerLetter"/>
      <w:lvlText w:val="%1)"/>
      <w:lvlJc w:val="left"/>
      <w:pPr>
        <w:ind w:left="720" w:hanging="360"/>
      </w:pPr>
      <w:rPr>
        <w:rFonts w:hint="default"/>
        <w:b w:val="0"/>
        <w:sz w:val="22"/>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nsid w:val="1569036C"/>
    <w:multiLevelType w:val="hybridMultilevel"/>
    <w:tmpl w:val="A7141DA2"/>
    <w:lvl w:ilvl="0" w:tplc="A4EC6E08">
      <w:start w:val="1"/>
      <w:numFmt w:val="decimal"/>
      <w:lvlText w:val="%1."/>
      <w:lvlJc w:val="left"/>
      <w:pPr>
        <w:ind w:left="1776" w:hanging="360"/>
      </w:pPr>
      <w:rPr>
        <w:rFonts w:hint="default"/>
        <w:b w:val="0"/>
      </w:rPr>
    </w:lvl>
    <w:lvl w:ilvl="1" w:tplc="040C0019" w:tentative="1">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4">
    <w:nsid w:val="19087CA7"/>
    <w:multiLevelType w:val="hybridMultilevel"/>
    <w:tmpl w:val="75302832"/>
    <w:lvl w:ilvl="0" w:tplc="040C0017">
      <w:start w:val="1"/>
      <w:numFmt w:val="lowerLetter"/>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nsid w:val="1E44434E"/>
    <w:multiLevelType w:val="hybridMultilevel"/>
    <w:tmpl w:val="BA5845C0"/>
    <w:lvl w:ilvl="0" w:tplc="4DF04FE0">
      <w:start w:val="1"/>
      <w:numFmt w:val="decimal"/>
      <w:lvlText w:val="%1."/>
      <w:lvlJc w:val="left"/>
      <w:pPr>
        <w:ind w:left="644" w:hanging="360"/>
      </w:pPr>
      <w:rPr>
        <w:rFonts w:hint="default"/>
        <w:b w:val="0"/>
      </w:rPr>
    </w:lvl>
    <w:lvl w:ilvl="1" w:tplc="040C0019" w:tentative="1">
      <w:start w:val="1"/>
      <w:numFmt w:val="lowerLetter"/>
      <w:lvlText w:val="%2."/>
      <w:lvlJc w:val="left"/>
      <w:pPr>
        <w:ind w:left="1364" w:hanging="360"/>
      </w:pPr>
    </w:lvl>
    <w:lvl w:ilvl="2" w:tplc="040C001B" w:tentative="1">
      <w:start w:val="1"/>
      <w:numFmt w:val="lowerRoman"/>
      <w:lvlText w:val="%3."/>
      <w:lvlJc w:val="right"/>
      <w:pPr>
        <w:ind w:left="2084" w:hanging="180"/>
      </w:pPr>
    </w:lvl>
    <w:lvl w:ilvl="3" w:tplc="040C000F" w:tentative="1">
      <w:start w:val="1"/>
      <w:numFmt w:val="decimal"/>
      <w:lvlText w:val="%4."/>
      <w:lvlJc w:val="left"/>
      <w:pPr>
        <w:ind w:left="2804" w:hanging="360"/>
      </w:pPr>
    </w:lvl>
    <w:lvl w:ilvl="4" w:tplc="040C0019" w:tentative="1">
      <w:start w:val="1"/>
      <w:numFmt w:val="lowerLetter"/>
      <w:lvlText w:val="%5."/>
      <w:lvlJc w:val="left"/>
      <w:pPr>
        <w:ind w:left="3524" w:hanging="360"/>
      </w:pPr>
    </w:lvl>
    <w:lvl w:ilvl="5" w:tplc="040C001B" w:tentative="1">
      <w:start w:val="1"/>
      <w:numFmt w:val="lowerRoman"/>
      <w:lvlText w:val="%6."/>
      <w:lvlJc w:val="right"/>
      <w:pPr>
        <w:ind w:left="4244" w:hanging="180"/>
      </w:pPr>
    </w:lvl>
    <w:lvl w:ilvl="6" w:tplc="040C000F" w:tentative="1">
      <w:start w:val="1"/>
      <w:numFmt w:val="decimal"/>
      <w:lvlText w:val="%7."/>
      <w:lvlJc w:val="left"/>
      <w:pPr>
        <w:ind w:left="4964" w:hanging="360"/>
      </w:pPr>
    </w:lvl>
    <w:lvl w:ilvl="7" w:tplc="040C0019" w:tentative="1">
      <w:start w:val="1"/>
      <w:numFmt w:val="lowerLetter"/>
      <w:lvlText w:val="%8."/>
      <w:lvlJc w:val="left"/>
      <w:pPr>
        <w:ind w:left="5684" w:hanging="360"/>
      </w:pPr>
    </w:lvl>
    <w:lvl w:ilvl="8" w:tplc="040C001B" w:tentative="1">
      <w:start w:val="1"/>
      <w:numFmt w:val="lowerRoman"/>
      <w:lvlText w:val="%9."/>
      <w:lvlJc w:val="right"/>
      <w:pPr>
        <w:ind w:left="6404" w:hanging="180"/>
      </w:pPr>
    </w:lvl>
  </w:abstractNum>
  <w:abstractNum w:abstractNumId="6">
    <w:nsid w:val="2C9F0778"/>
    <w:multiLevelType w:val="hybridMultilevel"/>
    <w:tmpl w:val="51F82788"/>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nsid w:val="315E23AC"/>
    <w:multiLevelType w:val="hybridMultilevel"/>
    <w:tmpl w:val="110679DA"/>
    <w:lvl w:ilvl="0" w:tplc="040C0017">
      <w:start w:val="1"/>
      <w:numFmt w:val="lowerLetter"/>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nsid w:val="32A81884"/>
    <w:multiLevelType w:val="hybridMultilevel"/>
    <w:tmpl w:val="49BABB62"/>
    <w:lvl w:ilvl="0" w:tplc="17080C0A">
      <w:start w:val="2"/>
      <w:numFmt w:val="bullet"/>
      <w:lvlText w:val="-"/>
      <w:lvlJc w:val="left"/>
      <w:pPr>
        <w:ind w:left="1065" w:hanging="360"/>
      </w:pPr>
      <w:rPr>
        <w:rFonts w:ascii="Times New Roman" w:eastAsia="Helvetica" w:hAnsi="Times New Roman" w:cs="Times New Roman" w:hint="default"/>
      </w:rPr>
    </w:lvl>
    <w:lvl w:ilvl="1" w:tplc="040C0003">
      <w:start w:val="1"/>
      <w:numFmt w:val="bullet"/>
      <w:lvlText w:val="o"/>
      <w:lvlJc w:val="left"/>
      <w:pPr>
        <w:ind w:left="1785" w:hanging="360"/>
      </w:pPr>
      <w:rPr>
        <w:rFonts w:ascii="Courier New" w:hAnsi="Courier New" w:cs="Helvetica" w:hint="default"/>
      </w:rPr>
    </w:lvl>
    <w:lvl w:ilvl="2" w:tplc="040C0005" w:tentative="1">
      <w:start w:val="1"/>
      <w:numFmt w:val="bullet"/>
      <w:lvlText w:val=""/>
      <w:lvlJc w:val="left"/>
      <w:pPr>
        <w:ind w:left="2505" w:hanging="360"/>
      </w:pPr>
      <w:rPr>
        <w:rFonts w:ascii="Wingdings" w:hAnsi="Wingdings" w:hint="default"/>
      </w:rPr>
    </w:lvl>
    <w:lvl w:ilvl="3" w:tplc="040C0001" w:tentative="1">
      <w:start w:val="1"/>
      <w:numFmt w:val="bullet"/>
      <w:lvlText w:val=""/>
      <w:lvlJc w:val="left"/>
      <w:pPr>
        <w:ind w:left="3225" w:hanging="360"/>
      </w:pPr>
      <w:rPr>
        <w:rFonts w:ascii="Symbol" w:hAnsi="Symbol" w:hint="default"/>
      </w:rPr>
    </w:lvl>
    <w:lvl w:ilvl="4" w:tplc="040C0003" w:tentative="1">
      <w:start w:val="1"/>
      <w:numFmt w:val="bullet"/>
      <w:lvlText w:val="o"/>
      <w:lvlJc w:val="left"/>
      <w:pPr>
        <w:ind w:left="3945" w:hanging="360"/>
      </w:pPr>
      <w:rPr>
        <w:rFonts w:ascii="Courier New" w:hAnsi="Courier New" w:cs="Helvetica" w:hint="default"/>
      </w:rPr>
    </w:lvl>
    <w:lvl w:ilvl="5" w:tplc="040C0005" w:tentative="1">
      <w:start w:val="1"/>
      <w:numFmt w:val="bullet"/>
      <w:lvlText w:val=""/>
      <w:lvlJc w:val="left"/>
      <w:pPr>
        <w:ind w:left="4665" w:hanging="360"/>
      </w:pPr>
      <w:rPr>
        <w:rFonts w:ascii="Wingdings" w:hAnsi="Wingdings" w:hint="default"/>
      </w:rPr>
    </w:lvl>
    <w:lvl w:ilvl="6" w:tplc="040C0001" w:tentative="1">
      <w:start w:val="1"/>
      <w:numFmt w:val="bullet"/>
      <w:lvlText w:val=""/>
      <w:lvlJc w:val="left"/>
      <w:pPr>
        <w:ind w:left="5385" w:hanging="360"/>
      </w:pPr>
      <w:rPr>
        <w:rFonts w:ascii="Symbol" w:hAnsi="Symbol" w:hint="default"/>
      </w:rPr>
    </w:lvl>
    <w:lvl w:ilvl="7" w:tplc="040C0003" w:tentative="1">
      <w:start w:val="1"/>
      <w:numFmt w:val="bullet"/>
      <w:lvlText w:val="o"/>
      <w:lvlJc w:val="left"/>
      <w:pPr>
        <w:ind w:left="6105" w:hanging="360"/>
      </w:pPr>
      <w:rPr>
        <w:rFonts w:ascii="Courier New" w:hAnsi="Courier New" w:cs="Helvetica" w:hint="default"/>
      </w:rPr>
    </w:lvl>
    <w:lvl w:ilvl="8" w:tplc="040C0005" w:tentative="1">
      <w:start w:val="1"/>
      <w:numFmt w:val="bullet"/>
      <w:lvlText w:val=""/>
      <w:lvlJc w:val="left"/>
      <w:pPr>
        <w:ind w:left="6825" w:hanging="360"/>
      </w:pPr>
      <w:rPr>
        <w:rFonts w:ascii="Wingdings" w:hAnsi="Wingdings" w:hint="default"/>
      </w:rPr>
    </w:lvl>
  </w:abstractNum>
  <w:abstractNum w:abstractNumId="9">
    <w:nsid w:val="3EAB6D6A"/>
    <w:multiLevelType w:val="hybridMultilevel"/>
    <w:tmpl w:val="70AE21D8"/>
    <w:lvl w:ilvl="0" w:tplc="B544A240">
      <w:start w:val="1"/>
      <w:numFmt w:val="decimal"/>
      <w:lvlText w:val="%1)"/>
      <w:lvlJc w:val="left"/>
      <w:pPr>
        <w:ind w:left="2521" w:hanging="360"/>
      </w:pPr>
      <w:rPr>
        <w:rFonts w:ascii="Times New Roman" w:eastAsia="Helvetica" w:hAnsi="Times New Roman" w:cs="Times New Roman"/>
      </w:rPr>
    </w:lvl>
    <w:lvl w:ilvl="1" w:tplc="040C0019" w:tentative="1">
      <w:start w:val="1"/>
      <w:numFmt w:val="lowerLetter"/>
      <w:lvlText w:val="%2."/>
      <w:lvlJc w:val="left"/>
      <w:pPr>
        <w:ind w:left="3241" w:hanging="360"/>
      </w:pPr>
    </w:lvl>
    <w:lvl w:ilvl="2" w:tplc="040C001B" w:tentative="1">
      <w:start w:val="1"/>
      <w:numFmt w:val="lowerRoman"/>
      <w:lvlText w:val="%3."/>
      <w:lvlJc w:val="right"/>
      <w:pPr>
        <w:ind w:left="3961" w:hanging="180"/>
      </w:pPr>
    </w:lvl>
    <w:lvl w:ilvl="3" w:tplc="040C000F" w:tentative="1">
      <w:start w:val="1"/>
      <w:numFmt w:val="decimal"/>
      <w:lvlText w:val="%4."/>
      <w:lvlJc w:val="left"/>
      <w:pPr>
        <w:ind w:left="4681" w:hanging="360"/>
      </w:pPr>
    </w:lvl>
    <w:lvl w:ilvl="4" w:tplc="040C0019" w:tentative="1">
      <w:start w:val="1"/>
      <w:numFmt w:val="lowerLetter"/>
      <w:lvlText w:val="%5."/>
      <w:lvlJc w:val="left"/>
      <w:pPr>
        <w:ind w:left="5401" w:hanging="360"/>
      </w:pPr>
    </w:lvl>
    <w:lvl w:ilvl="5" w:tplc="040C001B" w:tentative="1">
      <w:start w:val="1"/>
      <w:numFmt w:val="lowerRoman"/>
      <w:lvlText w:val="%6."/>
      <w:lvlJc w:val="right"/>
      <w:pPr>
        <w:ind w:left="6121" w:hanging="180"/>
      </w:pPr>
    </w:lvl>
    <w:lvl w:ilvl="6" w:tplc="040C000F" w:tentative="1">
      <w:start w:val="1"/>
      <w:numFmt w:val="decimal"/>
      <w:lvlText w:val="%7."/>
      <w:lvlJc w:val="left"/>
      <w:pPr>
        <w:ind w:left="6841" w:hanging="360"/>
      </w:pPr>
    </w:lvl>
    <w:lvl w:ilvl="7" w:tplc="040C0019" w:tentative="1">
      <w:start w:val="1"/>
      <w:numFmt w:val="lowerLetter"/>
      <w:lvlText w:val="%8."/>
      <w:lvlJc w:val="left"/>
      <w:pPr>
        <w:ind w:left="7561" w:hanging="360"/>
      </w:pPr>
    </w:lvl>
    <w:lvl w:ilvl="8" w:tplc="040C001B" w:tentative="1">
      <w:start w:val="1"/>
      <w:numFmt w:val="lowerRoman"/>
      <w:lvlText w:val="%9."/>
      <w:lvlJc w:val="right"/>
      <w:pPr>
        <w:ind w:left="8281" w:hanging="180"/>
      </w:pPr>
    </w:lvl>
  </w:abstractNum>
  <w:abstractNum w:abstractNumId="10">
    <w:nsid w:val="405A7F2B"/>
    <w:multiLevelType w:val="hybridMultilevel"/>
    <w:tmpl w:val="2CEE215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nsid w:val="45FD3A47"/>
    <w:multiLevelType w:val="hybridMultilevel"/>
    <w:tmpl w:val="96F265A4"/>
    <w:lvl w:ilvl="0" w:tplc="040C0017">
      <w:start w:val="1"/>
      <w:numFmt w:val="lowerLetter"/>
      <w:lvlText w:val="%1)"/>
      <w:lvlJc w:val="left"/>
      <w:pPr>
        <w:ind w:left="927" w:hanging="360"/>
      </w:pPr>
      <w:rPr>
        <w:rFonts w:hint="default"/>
      </w:rPr>
    </w:lvl>
    <w:lvl w:ilvl="1" w:tplc="CBB692C0">
      <w:start w:val="6"/>
      <w:numFmt w:val="bullet"/>
      <w:lvlText w:val="-"/>
      <w:lvlJc w:val="left"/>
      <w:pPr>
        <w:ind w:left="1647" w:hanging="360"/>
      </w:pPr>
      <w:rPr>
        <w:rFonts w:ascii="Times New Roman" w:eastAsia="Calibri" w:hAnsi="Times New Roman" w:cs="Times New Roman" w:hint="default"/>
      </w:rPr>
    </w:lvl>
    <w:lvl w:ilvl="2" w:tplc="B1D8388A">
      <w:start w:val="1"/>
      <w:numFmt w:val="decimal"/>
      <w:lvlText w:val="%3."/>
      <w:lvlJc w:val="left"/>
      <w:pPr>
        <w:ind w:left="2547" w:hanging="360"/>
      </w:pPr>
      <w:rPr>
        <w:rFonts w:hint="default"/>
      </w:rPr>
    </w:lvl>
    <w:lvl w:ilvl="3" w:tplc="BF387C62">
      <w:start w:val="1"/>
      <w:numFmt w:val="upperRoman"/>
      <w:lvlText w:val="%4."/>
      <w:lvlJc w:val="left"/>
      <w:pPr>
        <w:ind w:left="3447" w:hanging="720"/>
      </w:pPr>
      <w:rPr>
        <w:rFonts w:hint="default"/>
      </w:r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12">
    <w:nsid w:val="50B62667"/>
    <w:multiLevelType w:val="hybridMultilevel"/>
    <w:tmpl w:val="1EEEE090"/>
    <w:lvl w:ilvl="0" w:tplc="AB72E906">
      <w:start w:val="1"/>
      <w:numFmt w:val="lowerRoman"/>
      <w:lvlText w:val="(%1)"/>
      <w:lvlJc w:val="left"/>
      <w:pPr>
        <w:ind w:left="1440" w:hanging="72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3">
    <w:nsid w:val="53510C47"/>
    <w:multiLevelType w:val="hybridMultilevel"/>
    <w:tmpl w:val="70AE21D8"/>
    <w:lvl w:ilvl="0" w:tplc="B544A240">
      <w:start w:val="1"/>
      <w:numFmt w:val="decimal"/>
      <w:lvlText w:val="%1)"/>
      <w:lvlJc w:val="left"/>
      <w:pPr>
        <w:ind w:left="2521" w:hanging="360"/>
      </w:pPr>
      <w:rPr>
        <w:rFonts w:ascii="Times New Roman" w:eastAsia="Helvetica" w:hAnsi="Times New Roman" w:cs="Times New Roman"/>
      </w:rPr>
    </w:lvl>
    <w:lvl w:ilvl="1" w:tplc="040C0019" w:tentative="1">
      <w:start w:val="1"/>
      <w:numFmt w:val="lowerLetter"/>
      <w:lvlText w:val="%2."/>
      <w:lvlJc w:val="left"/>
      <w:pPr>
        <w:ind w:left="3241" w:hanging="360"/>
      </w:pPr>
    </w:lvl>
    <w:lvl w:ilvl="2" w:tplc="040C001B" w:tentative="1">
      <w:start w:val="1"/>
      <w:numFmt w:val="lowerRoman"/>
      <w:lvlText w:val="%3."/>
      <w:lvlJc w:val="right"/>
      <w:pPr>
        <w:ind w:left="3961" w:hanging="180"/>
      </w:pPr>
    </w:lvl>
    <w:lvl w:ilvl="3" w:tplc="040C000F" w:tentative="1">
      <w:start w:val="1"/>
      <w:numFmt w:val="decimal"/>
      <w:lvlText w:val="%4."/>
      <w:lvlJc w:val="left"/>
      <w:pPr>
        <w:ind w:left="4681" w:hanging="360"/>
      </w:pPr>
    </w:lvl>
    <w:lvl w:ilvl="4" w:tplc="040C0019" w:tentative="1">
      <w:start w:val="1"/>
      <w:numFmt w:val="lowerLetter"/>
      <w:lvlText w:val="%5."/>
      <w:lvlJc w:val="left"/>
      <w:pPr>
        <w:ind w:left="5401" w:hanging="360"/>
      </w:pPr>
    </w:lvl>
    <w:lvl w:ilvl="5" w:tplc="040C001B" w:tentative="1">
      <w:start w:val="1"/>
      <w:numFmt w:val="lowerRoman"/>
      <w:lvlText w:val="%6."/>
      <w:lvlJc w:val="right"/>
      <w:pPr>
        <w:ind w:left="6121" w:hanging="180"/>
      </w:pPr>
    </w:lvl>
    <w:lvl w:ilvl="6" w:tplc="040C000F" w:tentative="1">
      <w:start w:val="1"/>
      <w:numFmt w:val="decimal"/>
      <w:lvlText w:val="%7."/>
      <w:lvlJc w:val="left"/>
      <w:pPr>
        <w:ind w:left="6841" w:hanging="360"/>
      </w:pPr>
    </w:lvl>
    <w:lvl w:ilvl="7" w:tplc="040C0019" w:tentative="1">
      <w:start w:val="1"/>
      <w:numFmt w:val="lowerLetter"/>
      <w:lvlText w:val="%8."/>
      <w:lvlJc w:val="left"/>
      <w:pPr>
        <w:ind w:left="7561" w:hanging="360"/>
      </w:pPr>
    </w:lvl>
    <w:lvl w:ilvl="8" w:tplc="040C001B" w:tentative="1">
      <w:start w:val="1"/>
      <w:numFmt w:val="lowerRoman"/>
      <w:lvlText w:val="%9."/>
      <w:lvlJc w:val="right"/>
      <w:pPr>
        <w:ind w:left="8281" w:hanging="180"/>
      </w:pPr>
    </w:lvl>
  </w:abstractNum>
  <w:abstractNum w:abstractNumId="14">
    <w:nsid w:val="5BAF0192"/>
    <w:multiLevelType w:val="hybridMultilevel"/>
    <w:tmpl w:val="C65089C0"/>
    <w:lvl w:ilvl="0" w:tplc="040C0015">
      <w:start w:val="1"/>
      <w:numFmt w:val="upperLetter"/>
      <w:pStyle w:val="Numbered"/>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nsid w:val="644F7E7A"/>
    <w:multiLevelType w:val="hybridMultilevel"/>
    <w:tmpl w:val="75302832"/>
    <w:lvl w:ilvl="0" w:tplc="040C0017">
      <w:start w:val="1"/>
      <w:numFmt w:val="lowerLetter"/>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nsid w:val="65262F7B"/>
    <w:multiLevelType w:val="hybridMultilevel"/>
    <w:tmpl w:val="CECCFB12"/>
    <w:lvl w:ilvl="0" w:tplc="86EEE80C">
      <w:start w:val="8"/>
      <w:numFmt w:val="bullet"/>
      <w:lvlText w:val="-"/>
      <w:lvlJc w:val="left"/>
      <w:pPr>
        <w:ind w:left="720" w:hanging="360"/>
      </w:pPr>
      <w:rPr>
        <w:rFonts w:ascii="Times New Roman" w:eastAsia="Helvetica" w:hAnsi="Times New Roman" w:cs="Times New Roman" w:hint="default"/>
      </w:rPr>
    </w:lvl>
    <w:lvl w:ilvl="1" w:tplc="040C0003" w:tentative="1">
      <w:start w:val="1"/>
      <w:numFmt w:val="bullet"/>
      <w:lvlText w:val="o"/>
      <w:lvlJc w:val="left"/>
      <w:pPr>
        <w:ind w:left="1440" w:hanging="360"/>
      </w:pPr>
      <w:rPr>
        <w:rFonts w:ascii="Courier New" w:hAnsi="Courier New" w:cs="Helvetica"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Helvetica"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Helvetica" w:hint="default"/>
      </w:rPr>
    </w:lvl>
    <w:lvl w:ilvl="8" w:tplc="040C0005" w:tentative="1">
      <w:start w:val="1"/>
      <w:numFmt w:val="bullet"/>
      <w:lvlText w:val=""/>
      <w:lvlJc w:val="left"/>
      <w:pPr>
        <w:ind w:left="6480" w:hanging="360"/>
      </w:pPr>
      <w:rPr>
        <w:rFonts w:ascii="Wingdings" w:hAnsi="Wingdings" w:hint="default"/>
      </w:rPr>
    </w:lvl>
  </w:abstractNum>
  <w:abstractNum w:abstractNumId="17">
    <w:nsid w:val="72685948"/>
    <w:multiLevelType w:val="hybridMultilevel"/>
    <w:tmpl w:val="5FB2C61C"/>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nsid w:val="781107C7"/>
    <w:multiLevelType w:val="hybridMultilevel"/>
    <w:tmpl w:val="ADFA05CE"/>
    <w:lvl w:ilvl="0" w:tplc="040C0001">
      <w:start w:val="1"/>
      <w:numFmt w:val="bullet"/>
      <w:lvlText w:val=""/>
      <w:lvlJc w:val="left"/>
      <w:pPr>
        <w:ind w:left="720" w:hanging="360"/>
      </w:pPr>
      <w:rPr>
        <w:rFonts w:ascii="Symbol" w:hAnsi="Symbol" w:hint="default"/>
      </w:rPr>
    </w:lvl>
    <w:lvl w:ilvl="1" w:tplc="EB7CAA50">
      <w:start w:val="1"/>
      <w:numFmt w:val="decimal"/>
      <w:lvlText w:val="%2."/>
      <w:lvlJc w:val="left"/>
      <w:pPr>
        <w:ind w:left="1440" w:hanging="360"/>
      </w:pPr>
      <w:rPr>
        <w:rFonts w:ascii="Times New Roman" w:eastAsia="Helvetica" w:hAnsi="Times New Roman" w:cs="Times New Roman"/>
        <w:b w:val="0"/>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Helvetica"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Helvetica" w:hint="default"/>
      </w:rPr>
    </w:lvl>
    <w:lvl w:ilvl="8" w:tplc="040C0005" w:tentative="1">
      <w:start w:val="1"/>
      <w:numFmt w:val="bullet"/>
      <w:lvlText w:val=""/>
      <w:lvlJc w:val="left"/>
      <w:pPr>
        <w:ind w:left="6480" w:hanging="360"/>
      </w:pPr>
      <w:rPr>
        <w:rFonts w:ascii="Wingdings" w:hAnsi="Wingdings" w:hint="default"/>
      </w:rPr>
    </w:lvl>
  </w:abstractNum>
  <w:abstractNum w:abstractNumId="19">
    <w:nsid w:val="7D8A6C47"/>
    <w:multiLevelType w:val="hybridMultilevel"/>
    <w:tmpl w:val="FD5EBADA"/>
    <w:lvl w:ilvl="0" w:tplc="30244DAA">
      <w:start w:val="1"/>
      <w:numFmt w:val="decimal"/>
      <w:lvlText w:val="%1)"/>
      <w:lvlJc w:val="left"/>
      <w:pPr>
        <w:ind w:left="720" w:hanging="360"/>
      </w:pPr>
      <w:rPr>
        <w:rFonts w:hint="default"/>
        <w:sz w:val="24"/>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nsid w:val="7F2C177B"/>
    <w:multiLevelType w:val="hybridMultilevel"/>
    <w:tmpl w:val="C93ECAC2"/>
    <w:lvl w:ilvl="0" w:tplc="DABCF49C">
      <w:start w:val="10"/>
      <w:numFmt w:val="bullet"/>
      <w:lvlText w:val="-"/>
      <w:lvlJc w:val="left"/>
      <w:pPr>
        <w:ind w:left="720" w:hanging="360"/>
      </w:pPr>
      <w:rPr>
        <w:rFonts w:ascii="Cambria" w:eastAsia="Times New Roman" w:hAnsi="Cambria" w:cs="Times New Roman" w:hint="default"/>
      </w:rPr>
    </w:lvl>
    <w:lvl w:ilvl="1" w:tplc="040C0003">
      <w:start w:val="1"/>
      <w:numFmt w:val="bullet"/>
      <w:lvlText w:val="o"/>
      <w:lvlJc w:val="left"/>
      <w:pPr>
        <w:ind w:left="1440" w:hanging="360"/>
      </w:pPr>
      <w:rPr>
        <w:rFonts w:ascii="Courier New" w:hAnsi="Courier New" w:cs="Helvetica"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Helvetica"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Helvetica" w:hint="default"/>
      </w:rPr>
    </w:lvl>
    <w:lvl w:ilvl="8" w:tplc="040C0005" w:tentative="1">
      <w:start w:val="1"/>
      <w:numFmt w:val="bullet"/>
      <w:lvlText w:val=""/>
      <w:lvlJc w:val="left"/>
      <w:pPr>
        <w:ind w:left="6480" w:hanging="360"/>
      </w:pPr>
      <w:rPr>
        <w:rFonts w:ascii="Wingdings" w:hAnsi="Wingdings" w:hint="default"/>
      </w:rPr>
    </w:lvl>
  </w:abstractNum>
  <w:abstractNum w:abstractNumId="21">
    <w:nsid w:val="7F8904C2"/>
    <w:multiLevelType w:val="hybridMultilevel"/>
    <w:tmpl w:val="5518CB20"/>
    <w:lvl w:ilvl="0" w:tplc="B156D43A">
      <w:start w:val="3"/>
      <w:numFmt w:val="bullet"/>
      <w:pStyle w:val="Lettered"/>
      <w:lvlText w:val="-"/>
      <w:lvlJc w:val="left"/>
      <w:pPr>
        <w:ind w:left="720" w:hanging="360"/>
      </w:pPr>
      <w:rPr>
        <w:rFonts w:ascii="Times New Roman" w:eastAsia="Helvetica" w:hAnsi="Times New Roman" w:cs="Times New Roman" w:hint="default"/>
      </w:rPr>
    </w:lvl>
    <w:lvl w:ilvl="1" w:tplc="040C0003" w:tentative="1">
      <w:start w:val="1"/>
      <w:numFmt w:val="bullet"/>
      <w:lvlText w:val="o"/>
      <w:lvlJc w:val="left"/>
      <w:pPr>
        <w:ind w:left="1440" w:hanging="360"/>
      </w:pPr>
      <w:rPr>
        <w:rFonts w:ascii="Courier New" w:hAnsi="Courier New" w:cs="Helvetica"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Helvetica"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Helvetica" w:hint="default"/>
      </w:rPr>
    </w:lvl>
    <w:lvl w:ilvl="8" w:tplc="040C0005" w:tentative="1">
      <w:start w:val="1"/>
      <w:numFmt w:val="bullet"/>
      <w:lvlText w:val=""/>
      <w:lvlJc w:val="left"/>
      <w:pPr>
        <w:ind w:left="6480" w:hanging="360"/>
      </w:pPr>
      <w:rPr>
        <w:rFonts w:ascii="Wingdings" w:hAnsi="Wingdings" w:hint="default"/>
      </w:rPr>
    </w:lvl>
  </w:abstractNum>
  <w:num w:numId="1">
    <w:abstractNumId w:val="14"/>
  </w:num>
  <w:num w:numId="2">
    <w:abstractNumId w:val="21"/>
  </w:num>
  <w:num w:numId="3">
    <w:abstractNumId w:val="8"/>
  </w:num>
  <w:num w:numId="4">
    <w:abstractNumId w:val="7"/>
  </w:num>
  <w:num w:numId="5">
    <w:abstractNumId w:val="15"/>
  </w:num>
  <w:num w:numId="6">
    <w:abstractNumId w:val="19"/>
  </w:num>
  <w:num w:numId="7">
    <w:abstractNumId w:val="13"/>
  </w:num>
  <w:num w:numId="8">
    <w:abstractNumId w:val="11"/>
  </w:num>
  <w:num w:numId="9">
    <w:abstractNumId w:val="0"/>
  </w:num>
  <w:num w:numId="10">
    <w:abstractNumId w:val="2"/>
  </w:num>
  <w:num w:numId="11">
    <w:abstractNumId w:val="17"/>
  </w:num>
  <w:num w:numId="12">
    <w:abstractNumId w:val="18"/>
  </w:num>
  <w:num w:numId="13">
    <w:abstractNumId w:val="3"/>
  </w:num>
  <w:num w:numId="14">
    <w:abstractNumId w:val="9"/>
  </w:num>
  <w:num w:numId="15">
    <w:abstractNumId w:val="20"/>
  </w:num>
  <w:num w:numId="16">
    <w:abstractNumId w:val="10"/>
  </w:num>
  <w:num w:numId="17">
    <w:abstractNumId w:val="5"/>
  </w:num>
  <w:num w:numId="18">
    <w:abstractNumId w:val="4"/>
  </w:num>
  <w:num w:numId="19">
    <w:abstractNumId w:val="1"/>
  </w:num>
  <w:num w:numId="20">
    <w:abstractNumId w:val="16"/>
  </w:num>
  <w:num w:numId="21">
    <w:abstractNumId w:val="6"/>
  </w:num>
  <w:num w:numId="22">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proofState w:spelling="clean" w:grammar="clean"/>
  <w:doNotTrackMoves/>
  <w:defaultTabStop w:val="708"/>
  <w:hyphenationZone w:val="425"/>
  <w:drawingGridHorizontalSpacing w:val="120"/>
  <w:displayHorizontalDrawingGridEvery w:val="2"/>
  <w:characterSpacingControl w:val="doNotCompress"/>
  <w:hdrShapeDefaults>
    <o:shapedefaults v:ext="edit" spidmax="5122"/>
  </w:hdrShapeDefaults>
  <w:footnotePr>
    <w:footnote w:id="-1"/>
    <w:footnote w:id="0"/>
  </w:footnotePr>
  <w:endnotePr>
    <w:endnote w:id="-1"/>
    <w:endnote w:id="0"/>
  </w:endnotePr>
  <w:compat/>
  <w:rsids>
    <w:rsidRoot w:val="002F1671"/>
    <w:rsid w:val="000233AC"/>
    <w:rsid w:val="00044203"/>
    <w:rsid w:val="00044470"/>
    <w:rsid w:val="000475C7"/>
    <w:rsid w:val="00047F6D"/>
    <w:rsid w:val="00050231"/>
    <w:rsid w:val="00063DFC"/>
    <w:rsid w:val="000656B3"/>
    <w:rsid w:val="000708E1"/>
    <w:rsid w:val="00092834"/>
    <w:rsid w:val="000D5336"/>
    <w:rsid w:val="000F380D"/>
    <w:rsid w:val="000F3E3B"/>
    <w:rsid w:val="00102A85"/>
    <w:rsid w:val="00116925"/>
    <w:rsid w:val="00133A4B"/>
    <w:rsid w:val="001368D0"/>
    <w:rsid w:val="00140436"/>
    <w:rsid w:val="00146F9C"/>
    <w:rsid w:val="00180B1B"/>
    <w:rsid w:val="0018771E"/>
    <w:rsid w:val="001919FA"/>
    <w:rsid w:val="001A3E9B"/>
    <w:rsid w:val="001A7618"/>
    <w:rsid w:val="001B26E6"/>
    <w:rsid w:val="001C391F"/>
    <w:rsid w:val="001C4CBA"/>
    <w:rsid w:val="001D6D0A"/>
    <w:rsid w:val="001E7842"/>
    <w:rsid w:val="001E7FEE"/>
    <w:rsid w:val="001F6948"/>
    <w:rsid w:val="002179C5"/>
    <w:rsid w:val="00251549"/>
    <w:rsid w:val="0029164C"/>
    <w:rsid w:val="0029267B"/>
    <w:rsid w:val="002A4175"/>
    <w:rsid w:val="002B064C"/>
    <w:rsid w:val="002B1275"/>
    <w:rsid w:val="002B57C8"/>
    <w:rsid w:val="002D6EB7"/>
    <w:rsid w:val="002D75BF"/>
    <w:rsid w:val="002E01BA"/>
    <w:rsid w:val="002E619C"/>
    <w:rsid w:val="002F1671"/>
    <w:rsid w:val="002F1EDF"/>
    <w:rsid w:val="002F2A34"/>
    <w:rsid w:val="002F3AFE"/>
    <w:rsid w:val="002F7E92"/>
    <w:rsid w:val="003238BF"/>
    <w:rsid w:val="00335CD5"/>
    <w:rsid w:val="00336BB7"/>
    <w:rsid w:val="00353BF0"/>
    <w:rsid w:val="00353F79"/>
    <w:rsid w:val="00365E7D"/>
    <w:rsid w:val="00366DE1"/>
    <w:rsid w:val="003800C2"/>
    <w:rsid w:val="0039213E"/>
    <w:rsid w:val="003A09B3"/>
    <w:rsid w:val="003A3E28"/>
    <w:rsid w:val="003A785D"/>
    <w:rsid w:val="003B1D2B"/>
    <w:rsid w:val="003B238C"/>
    <w:rsid w:val="003C4B7C"/>
    <w:rsid w:val="003F3105"/>
    <w:rsid w:val="00412630"/>
    <w:rsid w:val="004230D3"/>
    <w:rsid w:val="00426166"/>
    <w:rsid w:val="00427155"/>
    <w:rsid w:val="00431C4D"/>
    <w:rsid w:val="00436127"/>
    <w:rsid w:val="00440D2D"/>
    <w:rsid w:val="00441E11"/>
    <w:rsid w:val="0044215D"/>
    <w:rsid w:val="0044256B"/>
    <w:rsid w:val="004450A9"/>
    <w:rsid w:val="00467DE3"/>
    <w:rsid w:val="00495736"/>
    <w:rsid w:val="004A6A3D"/>
    <w:rsid w:val="004A79CD"/>
    <w:rsid w:val="004B2A6E"/>
    <w:rsid w:val="004D341B"/>
    <w:rsid w:val="004D5FA0"/>
    <w:rsid w:val="004E731B"/>
    <w:rsid w:val="004F1364"/>
    <w:rsid w:val="004F1F2B"/>
    <w:rsid w:val="00506014"/>
    <w:rsid w:val="00527C9A"/>
    <w:rsid w:val="00535F70"/>
    <w:rsid w:val="0054773C"/>
    <w:rsid w:val="0057244E"/>
    <w:rsid w:val="00585B31"/>
    <w:rsid w:val="00594C50"/>
    <w:rsid w:val="00596550"/>
    <w:rsid w:val="005B2D62"/>
    <w:rsid w:val="005C6C58"/>
    <w:rsid w:val="005D2957"/>
    <w:rsid w:val="006012D1"/>
    <w:rsid w:val="006072B6"/>
    <w:rsid w:val="00611D66"/>
    <w:rsid w:val="00617526"/>
    <w:rsid w:val="006215F2"/>
    <w:rsid w:val="00624ADF"/>
    <w:rsid w:val="00626ECB"/>
    <w:rsid w:val="00627239"/>
    <w:rsid w:val="00627D5C"/>
    <w:rsid w:val="00627EB0"/>
    <w:rsid w:val="0064239D"/>
    <w:rsid w:val="00652D0C"/>
    <w:rsid w:val="00662EB6"/>
    <w:rsid w:val="00677B22"/>
    <w:rsid w:val="00693B36"/>
    <w:rsid w:val="006B4D45"/>
    <w:rsid w:val="006B502D"/>
    <w:rsid w:val="006C2487"/>
    <w:rsid w:val="006C47D6"/>
    <w:rsid w:val="006E074F"/>
    <w:rsid w:val="006F3859"/>
    <w:rsid w:val="006F7DF9"/>
    <w:rsid w:val="00703012"/>
    <w:rsid w:val="00712A1F"/>
    <w:rsid w:val="00715201"/>
    <w:rsid w:val="00715617"/>
    <w:rsid w:val="00737180"/>
    <w:rsid w:val="00737AC4"/>
    <w:rsid w:val="00744F9B"/>
    <w:rsid w:val="00746902"/>
    <w:rsid w:val="00751C03"/>
    <w:rsid w:val="00763A52"/>
    <w:rsid w:val="007652D6"/>
    <w:rsid w:val="007660E6"/>
    <w:rsid w:val="00770757"/>
    <w:rsid w:val="007728F3"/>
    <w:rsid w:val="007745EA"/>
    <w:rsid w:val="00776955"/>
    <w:rsid w:val="00787F98"/>
    <w:rsid w:val="007A46AC"/>
    <w:rsid w:val="007A5293"/>
    <w:rsid w:val="007A58A6"/>
    <w:rsid w:val="007B5951"/>
    <w:rsid w:val="007C51B2"/>
    <w:rsid w:val="007E33B7"/>
    <w:rsid w:val="007F6169"/>
    <w:rsid w:val="007F7AAD"/>
    <w:rsid w:val="00824E30"/>
    <w:rsid w:val="00824F98"/>
    <w:rsid w:val="00832339"/>
    <w:rsid w:val="0083477A"/>
    <w:rsid w:val="00834FB7"/>
    <w:rsid w:val="00861A5B"/>
    <w:rsid w:val="0087302B"/>
    <w:rsid w:val="00886831"/>
    <w:rsid w:val="0089210F"/>
    <w:rsid w:val="008A2DF0"/>
    <w:rsid w:val="008B5116"/>
    <w:rsid w:val="008C0594"/>
    <w:rsid w:val="008C0A36"/>
    <w:rsid w:val="008C14B4"/>
    <w:rsid w:val="008D116E"/>
    <w:rsid w:val="008D1935"/>
    <w:rsid w:val="008E2ADC"/>
    <w:rsid w:val="008F117A"/>
    <w:rsid w:val="008F55D0"/>
    <w:rsid w:val="0090568B"/>
    <w:rsid w:val="00920EE2"/>
    <w:rsid w:val="00925B96"/>
    <w:rsid w:val="00951A8C"/>
    <w:rsid w:val="009577DA"/>
    <w:rsid w:val="00967FD5"/>
    <w:rsid w:val="00970ABD"/>
    <w:rsid w:val="0098375C"/>
    <w:rsid w:val="00987715"/>
    <w:rsid w:val="009A4254"/>
    <w:rsid w:val="009C037B"/>
    <w:rsid w:val="009C2AF9"/>
    <w:rsid w:val="009D3EA1"/>
    <w:rsid w:val="009D5410"/>
    <w:rsid w:val="009E3FF9"/>
    <w:rsid w:val="00A32D3D"/>
    <w:rsid w:val="00A52AC8"/>
    <w:rsid w:val="00A5754D"/>
    <w:rsid w:val="00A63651"/>
    <w:rsid w:val="00A66AB1"/>
    <w:rsid w:val="00A76EA6"/>
    <w:rsid w:val="00AA3F4A"/>
    <w:rsid w:val="00AB3954"/>
    <w:rsid w:val="00AC42B2"/>
    <w:rsid w:val="00AE01C6"/>
    <w:rsid w:val="00AE2653"/>
    <w:rsid w:val="00AE486F"/>
    <w:rsid w:val="00AE6825"/>
    <w:rsid w:val="00AF5FB0"/>
    <w:rsid w:val="00B05122"/>
    <w:rsid w:val="00B104D1"/>
    <w:rsid w:val="00B11CFC"/>
    <w:rsid w:val="00B1650B"/>
    <w:rsid w:val="00B16E2D"/>
    <w:rsid w:val="00B17A28"/>
    <w:rsid w:val="00B239AB"/>
    <w:rsid w:val="00B2561E"/>
    <w:rsid w:val="00B25CA3"/>
    <w:rsid w:val="00B32E31"/>
    <w:rsid w:val="00B44125"/>
    <w:rsid w:val="00B473A9"/>
    <w:rsid w:val="00B70176"/>
    <w:rsid w:val="00B76A12"/>
    <w:rsid w:val="00BA5870"/>
    <w:rsid w:val="00BC7384"/>
    <w:rsid w:val="00C020BD"/>
    <w:rsid w:val="00C51E91"/>
    <w:rsid w:val="00C52869"/>
    <w:rsid w:val="00C65599"/>
    <w:rsid w:val="00C82BA3"/>
    <w:rsid w:val="00C87B12"/>
    <w:rsid w:val="00C957BB"/>
    <w:rsid w:val="00C96105"/>
    <w:rsid w:val="00CB0A78"/>
    <w:rsid w:val="00CC4E72"/>
    <w:rsid w:val="00CD40E6"/>
    <w:rsid w:val="00D00AF7"/>
    <w:rsid w:val="00D0494E"/>
    <w:rsid w:val="00D07B68"/>
    <w:rsid w:val="00D134C4"/>
    <w:rsid w:val="00D20F15"/>
    <w:rsid w:val="00D275E0"/>
    <w:rsid w:val="00D46FA2"/>
    <w:rsid w:val="00D55D07"/>
    <w:rsid w:val="00D7093E"/>
    <w:rsid w:val="00D7508E"/>
    <w:rsid w:val="00D76131"/>
    <w:rsid w:val="00D7673B"/>
    <w:rsid w:val="00D920D6"/>
    <w:rsid w:val="00D946D2"/>
    <w:rsid w:val="00DA2967"/>
    <w:rsid w:val="00DA2C1A"/>
    <w:rsid w:val="00DE48E6"/>
    <w:rsid w:val="00DE6752"/>
    <w:rsid w:val="00DF420B"/>
    <w:rsid w:val="00E07109"/>
    <w:rsid w:val="00E07C88"/>
    <w:rsid w:val="00E1030C"/>
    <w:rsid w:val="00E1171F"/>
    <w:rsid w:val="00E23562"/>
    <w:rsid w:val="00E3162A"/>
    <w:rsid w:val="00E35F18"/>
    <w:rsid w:val="00E36D12"/>
    <w:rsid w:val="00E55ED5"/>
    <w:rsid w:val="00E6021F"/>
    <w:rsid w:val="00E65FE8"/>
    <w:rsid w:val="00E675B3"/>
    <w:rsid w:val="00EA3D4A"/>
    <w:rsid w:val="00EA4A80"/>
    <w:rsid w:val="00EB39CB"/>
    <w:rsid w:val="00EB465E"/>
    <w:rsid w:val="00EC53D8"/>
    <w:rsid w:val="00ED53AE"/>
    <w:rsid w:val="00EE5088"/>
    <w:rsid w:val="00EE5C52"/>
    <w:rsid w:val="00F00BFC"/>
    <w:rsid w:val="00F1585A"/>
    <w:rsid w:val="00F1660E"/>
    <w:rsid w:val="00F21FD1"/>
    <w:rsid w:val="00F23914"/>
    <w:rsid w:val="00F24599"/>
    <w:rsid w:val="00F37302"/>
    <w:rsid w:val="00F42C43"/>
    <w:rsid w:val="00F54F53"/>
    <w:rsid w:val="00F74783"/>
    <w:rsid w:val="00F80652"/>
    <w:rsid w:val="00F866C0"/>
    <w:rsid w:val="00FB3D58"/>
    <w:rsid w:val="00FC1CE2"/>
    <w:rsid w:val="00FC680B"/>
    <w:rsid w:val="00FD45D6"/>
    <w:rsid w:val="00FD4E33"/>
    <w:rsid w:val="00FD5F9A"/>
    <w:rsid w:val="00FF23FC"/>
    <w:rsid w:val="00FF2C98"/>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55CE"/>
    <w:rPr>
      <w:rFonts w:ascii="Helvetica" w:eastAsia="Helvetica" w:hAnsi="Helvetica"/>
      <w:sz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F1671"/>
    <w:pPr>
      <w:tabs>
        <w:tab w:val="center" w:pos="4536"/>
        <w:tab w:val="right" w:pos="9072"/>
      </w:tabs>
    </w:pPr>
    <w:rPr>
      <w:rFonts w:ascii="Calibri" w:eastAsia="Calibri" w:hAnsi="Calibri"/>
      <w:sz w:val="22"/>
      <w:szCs w:val="22"/>
      <w:lang w:val="fr-FR"/>
    </w:rPr>
  </w:style>
  <w:style w:type="character" w:customStyle="1" w:styleId="HeaderChar">
    <w:name w:val="Header Char"/>
    <w:basedOn w:val="DefaultParagraphFont"/>
    <w:link w:val="Header"/>
    <w:uiPriority w:val="99"/>
    <w:rsid w:val="002F1671"/>
  </w:style>
  <w:style w:type="paragraph" w:styleId="Footer">
    <w:name w:val="footer"/>
    <w:basedOn w:val="Normal"/>
    <w:link w:val="FooterChar"/>
    <w:uiPriority w:val="99"/>
    <w:unhideWhenUsed/>
    <w:rsid w:val="002F1671"/>
    <w:pPr>
      <w:tabs>
        <w:tab w:val="center" w:pos="4536"/>
        <w:tab w:val="right" w:pos="9072"/>
      </w:tabs>
    </w:pPr>
    <w:rPr>
      <w:rFonts w:ascii="Calibri" w:eastAsia="Calibri" w:hAnsi="Calibri"/>
      <w:sz w:val="22"/>
      <w:szCs w:val="22"/>
      <w:lang w:val="fr-FR"/>
    </w:rPr>
  </w:style>
  <w:style w:type="character" w:customStyle="1" w:styleId="FooterChar">
    <w:name w:val="Footer Char"/>
    <w:basedOn w:val="DefaultParagraphFont"/>
    <w:link w:val="Footer"/>
    <w:uiPriority w:val="99"/>
    <w:rsid w:val="002F1671"/>
  </w:style>
  <w:style w:type="paragraph" w:styleId="BalloonText">
    <w:name w:val="Balloon Text"/>
    <w:basedOn w:val="Normal"/>
    <w:link w:val="BalloonTextChar"/>
    <w:uiPriority w:val="99"/>
    <w:semiHidden/>
    <w:unhideWhenUsed/>
    <w:rsid w:val="002F1671"/>
    <w:rPr>
      <w:rFonts w:ascii="Tahoma" w:hAnsi="Tahoma" w:cs="Tahoma"/>
      <w:sz w:val="16"/>
      <w:szCs w:val="16"/>
    </w:rPr>
  </w:style>
  <w:style w:type="character" w:customStyle="1" w:styleId="BalloonTextChar">
    <w:name w:val="Balloon Text Char"/>
    <w:link w:val="BalloonText"/>
    <w:uiPriority w:val="99"/>
    <w:semiHidden/>
    <w:rsid w:val="002F1671"/>
    <w:rPr>
      <w:rFonts w:ascii="Tahoma" w:hAnsi="Tahoma" w:cs="Tahoma"/>
      <w:sz w:val="16"/>
      <w:szCs w:val="16"/>
    </w:rPr>
  </w:style>
  <w:style w:type="paragraph" w:styleId="FootnoteText">
    <w:name w:val="footnote text"/>
    <w:basedOn w:val="Normal"/>
    <w:link w:val="FootnoteTextChar"/>
    <w:uiPriority w:val="99"/>
    <w:rsid w:val="006D3876"/>
    <w:rPr>
      <w:szCs w:val="24"/>
    </w:rPr>
  </w:style>
  <w:style w:type="character" w:customStyle="1" w:styleId="FootnoteTextChar">
    <w:name w:val="Footnote Text Char"/>
    <w:link w:val="FootnoteText"/>
    <w:uiPriority w:val="99"/>
    <w:rsid w:val="006D3876"/>
    <w:rPr>
      <w:rFonts w:ascii="Helvetica" w:eastAsia="Helvetica" w:hAnsi="Helvetica" w:cs="Times New Roman"/>
      <w:sz w:val="24"/>
      <w:szCs w:val="24"/>
      <w:lang w:val="en-US"/>
    </w:rPr>
  </w:style>
  <w:style w:type="character" w:styleId="FootnoteReference">
    <w:name w:val="footnote reference"/>
    <w:uiPriority w:val="99"/>
    <w:semiHidden/>
    <w:rsid w:val="006D3876"/>
    <w:rPr>
      <w:vertAlign w:val="superscript"/>
    </w:rPr>
  </w:style>
  <w:style w:type="paragraph" w:styleId="ListParagraph">
    <w:name w:val="List Paragraph"/>
    <w:basedOn w:val="Normal"/>
    <w:uiPriority w:val="34"/>
    <w:qFormat/>
    <w:rsid w:val="006B5B4D"/>
    <w:pPr>
      <w:ind w:left="720"/>
      <w:contextualSpacing/>
    </w:pPr>
  </w:style>
  <w:style w:type="paragraph" w:styleId="NormalWeb">
    <w:name w:val="Normal (Web)"/>
    <w:basedOn w:val="Normal"/>
    <w:uiPriority w:val="99"/>
    <w:semiHidden/>
    <w:unhideWhenUsed/>
    <w:rsid w:val="008F7550"/>
    <w:pPr>
      <w:spacing w:before="100" w:beforeAutospacing="1" w:after="100" w:afterAutospacing="1"/>
    </w:pPr>
    <w:rPr>
      <w:rFonts w:ascii="Times New Roman" w:eastAsia="Times New Roman" w:hAnsi="Times New Roman"/>
      <w:szCs w:val="24"/>
      <w:lang w:val="fr-FR" w:eastAsia="fr-FR"/>
    </w:rPr>
  </w:style>
  <w:style w:type="table" w:styleId="TableGrid">
    <w:name w:val="Table Grid"/>
    <w:basedOn w:val="TableNormal"/>
    <w:uiPriority w:val="59"/>
    <w:rsid w:val="00D07C7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1">
    <w:name w:val="Body 1"/>
    <w:rsid w:val="00E33B10"/>
    <w:rPr>
      <w:rFonts w:ascii="Helvetica" w:eastAsia="Arial Unicode MS" w:hAnsi="Helvetica"/>
      <w:color w:val="000000"/>
      <w:sz w:val="24"/>
    </w:rPr>
  </w:style>
  <w:style w:type="paragraph" w:customStyle="1" w:styleId="Numbered">
    <w:name w:val="Numbered"/>
    <w:rsid w:val="00E33B10"/>
    <w:pPr>
      <w:numPr>
        <w:numId w:val="1"/>
      </w:numPr>
    </w:pPr>
    <w:rPr>
      <w:rFonts w:ascii="Times New Roman" w:eastAsia="Times New Roman" w:hAnsi="Times New Roman"/>
    </w:rPr>
  </w:style>
  <w:style w:type="paragraph" w:customStyle="1" w:styleId="Lettered">
    <w:name w:val="Lettered"/>
    <w:rsid w:val="00E33B10"/>
    <w:pPr>
      <w:numPr>
        <w:numId w:val="2"/>
      </w:numPr>
    </w:pPr>
    <w:rPr>
      <w:rFonts w:ascii="Times New Roman" w:eastAsia="Times New Roman" w:hAnsi="Times New Roman"/>
    </w:rPr>
  </w:style>
  <w:style w:type="character" w:styleId="Hyperlink">
    <w:name w:val="Hyperlink"/>
    <w:uiPriority w:val="99"/>
    <w:rsid w:val="008E1CEF"/>
    <w:rPr>
      <w:rFonts w:cs="Times New Roman"/>
      <w:color w:val="0000FF"/>
      <w:u w:val="single"/>
    </w:rPr>
  </w:style>
  <w:style w:type="character" w:styleId="CommentReference">
    <w:name w:val="annotation reference"/>
    <w:uiPriority w:val="99"/>
    <w:semiHidden/>
    <w:unhideWhenUsed/>
    <w:rsid w:val="007371D4"/>
    <w:rPr>
      <w:sz w:val="16"/>
      <w:szCs w:val="16"/>
    </w:rPr>
  </w:style>
  <w:style w:type="paragraph" w:styleId="CommentText">
    <w:name w:val="annotation text"/>
    <w:basedOn w:val="Normal"/>
    <w:link w:val="CommentTextChar"/>
    <w:uiPriority w:val="99"/>
    <w:semiHidden/>
    <w:unhideWhenUsed/>
    <w:rsid w:val="007371D4"/>
    <w:rPr>
      <w:sz w:val="20"/>
    </w:rPr>
  </w:style>
  <w:style w:type="character" w:customStyle="1" w:styleId="CommentTextChar">
    <w:name w:val="Comment Text Char"/>
    <w:link w:val="CommentText"/>
    <w:uiPriority w:val="99"/>
    <w:semiHidden/>
    <w:rsid w:val="007371D4"/>
    <w:rPr>
      <w:rFonts w:ascii="Helvetica" w:eastAsia="Helvetica" w:hAnsi="Helvetica"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7371D4"/>
    <w:rPr>
      <w:b/>
      <w:bCs/>
    </w:rPr>
  </w:style>
  <w:style w:type="character" w:customStyle="1" w:styleId="CommentSubjectChar">
    <w:name w:val="Comment Subject Char"/>
    <w:link w:val="CommentSubject"/>
    <w:uiPriority w:val="99"/>
    <w:semiHidden/>
    <w:rsid w:val="007371D4"/>
    <w:rPr>
      <w:rFonts w:ascii="Helvetica" w:eastAsia="Helvetica" w:hAnsi="Helvetica" w:cs="Times New Roman"/>
      <w:b/>
      <w:bCs/>
      <w:sz w:val="20"/>
      <w:szCs w:val="20"/>
      <w:lang w:val="en-US"/>
    </w:rPr>
  </w:style>
  <w:style w:type="paragraph" w:styleId="Revision">
    <w:name w:val="Revision"/>
    <w:hidden/>
    <w:uiPriority w:val="99"/>
    <w:semiHidden/>
    <w:rsid w:val="00DF12C2"/>
    <w:rPr>
      <w:rFonts w:ascii="Helvetica" w:eastAsia="Helvetica" w:hAnsi="Helvetica"/>
      <w:sz w:val="24"/>
      <w:lang w:val="en-US" w:eastAsia="en-US"/>
    </w:rPr>
  </w:style>
  <w:style w:type="paragraph" w:customStyle="1" w:styleId="Default">
    <w:name w:val="Default"/>
    <w:rsid w:val="00B04110"/>
    <w:pPr>
      <w:autoSpaceDE w:val="0"/>
      <w:autoSpaceDN w:val="0"/>
      <w:adjustRightInd w:val="0"/>
    </w:pPr>
    <w:rPr>
      <w:rFonts w:ascii="Times New Roman" w:hAnsi="Times New Roman"/>
      <w:color w:val="000000"/>
      <w:sz w:val="24"/>
      <w:szCs w:val="24"/>
      <w:lang w:val="en-US" w:eastAsia="en-US"/>
    </w:rPr>
  </w:style>
  <w:style w:type="paragraph" w:styleId="PlainText">
    <w:name w:val="Plain Text"/>
    <w:basedOn w:val="Normal"/>
    <w:link w:val="PlainTextChar"/>
    <w:uiPriority w:val="99"/>
    <w:unhideWhenUsed/>
    <w:rsid w:val="00976B60"/>
    <w:rPr>
      <w:rFonts w:ascii="Consolas" w:eastAsia="Calibri" w:hAnsi="Consolas" w:cs="Consolas"/>
      <w:sz w:val="21"/>
      <w:szCs w:val="21"/>
      <w:lang w:val="fr-FR"/>
    </w:rPr>
  </w:style>
  <w:style w:type="character" w:customStyle="1" w:styleId="PlainTextChar">
    <w:name w:val="Plain Text Char"/>
    <w:link w:val="PlainText"/>
    <w:uiPriority w:val="99"/>
    <w:rsid w:val="00976B60"/>
    <w:rPr>
      <w:rFonts w:ascii="Consolas" w:hAnsi="Consolas" w:cs="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412969253">
      <w:bodyDiv w:val="1"/>
      <w:marLeft w:val="0"/>
      <w:marRight w:val="0"/>
      <w:marTop w:val="0"/>
      <w:marBottom w:val="0"/>
      <w:divBdr>
        <w:top w:val="none" w:sz="0" w:space="0" w:color="auto"/>
        <w:left w:val="none" w:sz="0" w:space="0" w:color="auto"/>
        <w:bottom w:val="none" w:sz="0" w:space="0" w:color="auto"/>
        <w:right w:val="none" w:sz="0" w:space="0" w:color="auto"/>
      </w:divBdr>
    </w:div>
    <w:div w:id="15873737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22A899-597E-4343-B7F6-F17777E97E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929</Words>
  <Characters>5112</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Implementation Guidelines</vt:lpstr>
    </vt:vector>
  </TitlesOfParts>
  <Company>Microsoft</Company>
  <LinksUpToDate>false</LinksUpToDate>
  <CharactersWithSpaces>6029</CharactersWithSpaces>
  <SharedDoc>false</SharedDoc>
  <HLinks>
    <vt:vector size="126" baseType="variant">
      <vt:variant>
        <vt:i4>6815754</vt:i4>
      </vt:variant>
      <vt:variant>
        <vt:i4>48</vt:i4>
      </vt:variant>
      <vt:variant>
        <vt:i4>0</vt:i4>
      </vt:variant>
      <vt:variant>
        <vt:i4>5</vt:i4>
      </vt:variant>
      <vt:variant>
        <vt:lpwstr>mailto:w.rogers@cgiar.org</vt:lpwstr>
      </vt:variant>
      <vt:variant>
        <vt:lpwstr/>
      </vt:variant>
      <vt:variant>
        <vt:i4>6422539</vt:i4>
      </vt:variant>
      <vt:variant>
        <vt:i4>45</vt:i4>
      </vt:variant>
      <vt:variant>
        <vt:i4>0</vt:i4>
      </vt:variant>
      <vt:variant>
        <vt:i4>5</vt:i4>
      </vt:variant>
      <vt:variant>
        <vt:lpwstr>mailto:p.amarasekera@cgiar.org</vt:lpwstr>
      </vt:variant>
      <vt:variant>
        <vt:lpwstr/>
      </vt:variant>
      <vt:variant>
        <vt:i4>7602251</vt:i4>
      </vt:variant>
      <vt:variant>
        <vt:i4>42</vt:i4>
      </vt:variant>
      <vt:variant>
        <vt:i4>0</vt:i4>
      </vt:variant>
      <vt:variant>
        <vt:i4>5</vt:i4>
      </vt:variant>
      <vt:variant>
        <vt:lpwstr>mailto:e.quaite-randall@irri.org</vt:lpwstr>
      </vt:variant>
      <vt:variant>
        <vt:lpwstr/>
      </vt:variant>
      <vt:variant>
        <vt:i4>1638522</vt:i4>
      </vt:variant>
      <vt:variant>
        <vt:i4>39</vt:i4>
      </vt:variant>
      <vt:variant>
        <vt:i4>0</vt:i4>
      </vt:variant>
      <vt:variant>
        <vt:i4>5</vt:i4>
      </vt:variant>
      <vt:variant>
        <vt:lpwstr>mailto:l.opati@cgiar.org</vt:lpwstr>
      </vt:variant>
      <vt:variant>
        <vt:lpwstr/>
      </vt:variant>
      <vt:variant>
        <vt:i4>1245300</vt:i4>
      </vt:variant>
      <vt:variant>
        <vt:i4>36</vt:i4>
      </vt:variant>
      <vt:variant>
        <vt:i4>0</vt:i4>
      </vt:variant>
      <vt:variant>
        <vt:i4>5</vt:i4>
      </vt:variant>
      <vt:variant>
        <vt:lpwstr>mailto:h.koper@cgiar.org</vt:lpwstr>
      </vt:variant>
      <vt:variant>
        <vt:lpwstr/>
      </vt:variant>
      <vt:variant>
        <vt:i4>1704046</vt:i4>
      </vt:variant>
      <vt:variant>
        <vt:i4>33</vt:i4>
      </vt:variant>
      <vt:variant>
        <vt:i4>0</vt:i4>
      </vt:variant>
      <vt:variant>
        <vt:i4>5</vt:i4>
      </vt:variant>
      <vt:variant>
        <vt:lpwstr>mailto:d.governey@cgiar.org</vt:lpwstr>
      </vt:variant>
      <vt:variant>
        <vt:lpwstr/>
      </vt:variant>
      <vt:variant>
        <vt:i4>1900671</vt:i4>
      </vt:variant>
      <vt:variant>
        <vt:i4>30</vt:i4>
      </vt:variant>
      <vt:variant>
        <vt:i4>0</vt:i4>
      </vt:variant>
      <vt:variant>
        <vt:i4>5</vt:i4>
      </vt:variant>
      <vt:variant>
        <vt:lpwstr>mailto:b.hanumanth@cgiar.org</vt:lpwstr>
      </vt:variant>
      <vt:variant>
        <vt:lpwstr/>
      </vt:variant>
      <vt:variant>
        <vt:i4>393328</vt:i4>
      </vt:variant>
      <vt:variant>
        <vt:i4>27</vt:i4>
      </vt:variant>
      <vt:variant>
        <vt:i4>0</vt:i4>
      </vt:variant>
      <vt:variant>
        <vt:i4>5</vt:i4>
      </vt:variant>
      <vt:variant>
        <vt:lpwstr>mailto:p.stapleton@cgiar.org</vt:lpwstr>
      </vt:variant>
      <vt:variant>
        <vt:lpwstr/>
      </vt:variant>
      <vt:variant>
        <vt:i4>655479</vt:i4>
      </vt:variant>
      <vt:variant>
        <vt:i4>24</vt:i4>
      </vt:variant>
      <vt:variant>
        <vt:i4>0</vt:i4>
      </vt:variant>
      <vt:variant>
        <vt:i4>5</vt:i4>
      </vt:variant>
      <vt:variant>
        <vt:lpwstr>mailto:a.amri@cgiar.org</vt:lpwstr>
      </vt:variant>
      <vt:variant>
        <vt:lpwstr/>
      </vt:variant>
      <vt:variant>
        <vt:i4>7274500</vt:i4>
      </vt:variant>
      <vt:variant>
        <vt:i4>21</vt:i4>
      </vt:variant>
      <vt:variant>
        <vt:i4>0</vt:i4>
      </vt:variant>
      <vt:variant>
        <vt:i4>5</vt:i4>
      </vt:variant>
      <vt:variant>
        <vt:lpwstr>mailto:m.rodrigo@cgiar.org</vt:lpwstr>
      </vt:variant>
      <vt:variant>
        <vt:lpwstr/>
      </vt:variant>
      <vt:variant>
        <vt:i4>6422545</vt:i4>
      </vt:variant>
      <vt:variant>
        <vt:i4>18</vt:i4>
      </vt:variant>
      <vt:variant>
        <vt:i4>0</vt:i4>
      </vt:variant>
      <vt:variant>
        <vt:i4>5</vt:i4>
      </vt:variant>
      <vt:variant>
        <vt:lpwstr>mailto:c.roa@cgiar.org</vt:lpwstr>
      </vt:variant>
      <vt:variant>
        <vt:lpwstr/>
      </vt:variant>
      <vt:variant>
        <vt:i4>1310835</vt:i4>
      </vt:variant>
      <vt:variant>
        <vt:i4>15</vt:i4>
      </vt:variant>
      <vt:variant>
        <vt:i4>0</vt:i4>
      </vt:variant>
      <vt:variant>
        <vt:i4>5</vt:i4>
      </vt:variant>
      <vt:variant>
        <vt:lpwstr>mailto:k.tumuluru@cgiar.org</vt:lpwstr>
      </vt:variant>
      <vt:variant>
        <vt:lpwstr/>
      </vt:variant>
      <vt:variant>
        <vt:i4>8323157</vt:i4>
      </vt:variant>
      <vt:variant>
        <vt:i4>12</vt:i4>
      </vt:variant>
      <vt:variant>
        <vt:i4>0</vt:i4>
      </vt:variant>
      <vt:variant>
        <vt:i4>5</vt:i4>
      </vt:variant>
      <vt:variant>
        <vt:lpwstr>mailto:m.v.jaramillo@cgiar.org</vt:lpwstr>
      </vt:variant>
      <vt:variant>
        <vt:lpwstr/>
      </vt:variant>
      <vt:variant>
        <vt:i4>589948</vt:i4>
      </vt:variant>
      <vt:variant>
        <vt:i4>9</vt:i4>
      </vt:variant>
      <vt:variant>
        <vt:i4>0</vt:i4>
      </vt:variant>
      <vt:variant>
        <vt:i4>5</vt:i4>
      </vt:variant>
      <vt:variant>
        <vt:lpwstr>mailto:m.halewood@cgiar.org</vt:lpwstr>
      </vt:variant>
      <vt:variant>
        <vt:lpwstr/>
      </vt:variant>
      <vt:variant>
        <vt:i4>1376368</vt:i4>
      </vt:variant>
      <vt:variant>
        <vt:i4>6</vt:i4>
      </vt:variant>
      <vt:variant>
        <vt:i4>0</vt:i4>
      </vt:variant>
      <vt:variant>
        <vt:i4>5</vt:i4>
      </vt:variant>
      <vt:variant>
        <vt:lpwstr>mailto:t.kumashiro@cgiar.org</vt:lpwstr>
      </vt:variant>
      <vt:variant>
        <vt:lpwstr/>
      </vt:variant>
      <vt:variant>
        <vt:i4>7995409</vt:i4>
      </vt:variant>
      <vt:variant>
        <vt:i4>3</vt:i4>
      </vt:variant>
      <vt:variant>
        <vt:i4>0</vt:i4>
      </vt:variant>
      <vt:variant>
        <vt:i4>5</vt:i4>
      </vt:variant>
      <vt:variant>
        <vt:lpwstr>mailto:e.perset@cgiar.org</vt:lpwstr>
      </vt:variant>
      <vt:variant>
        <vt:lpwstr/>
      </vt:variant>
      <vt:variant>
        <vt:i4>458842</vt:i4>
      </vt:variant>
      <vt:variant>
        <vt:i4>0</vt:i4>
      </vt:variant>
      <vt:variant>
        <vt:i4>0</vt:i4>
      </vt:variant>
      <vt:variant>
        <vt:i4>5</vt:i4>
      </vt:variant>
      <vt:variant>
        <vt:lpwstr>http://www.ipcinfo.org)/</vt:lpwstr>
      </vt:variant>
      <vt:variant>
        <vt:lpwstr/>
      </vt:variant>
      <vt:variant>
        <vt:i4>2621555</vt:i4>
      </vt:variant>
      <vt:variant>
        <vt:i4>9</vt:i4>
      </vt:variant>
      <vt:variant>
        <vt:i4>0</vt:i4>
      </vt:variant>
      <vt:variant>
        <vt:i4>5</vt:i4>
      </vt:variant>
      <vt:variant>
        <vt:lpwstr>http://www.ipcinfo.org/</vt:lpwstr>
      </vt:variant>
      <vt:variant>
        <vt:lpwstr/>
      </vt:variant>
      <vt:variant>
        <vt:i4>2883686</vt:i4>
      </vt:variant>
      <vt:variant>
        <vt:i4>6</vt:i4>
      </vt:variant>
      <vt:variant>
        <vt:i4>0</vt:i4>
      </vt:variant>
      <vt:variant>
        <vt:i4>5</vt:i4>
      </vt:variant>
      <vt:variant>
        <vt:lpwstr>https://sites.google.com/a/cgxchange.org/clip-net/</vt:lpwstr>
      </vt:variant>
      <vt:variant>
        <vt:lpwstr/>
      </vt:variant>
      <vt:variant>
        <vt:i4>1835076</vt:i4>
      </vt:variant>
      <vt:variant>
        <vt:i4>3</vt:i4>
      </vt:variant>
      <vt:variant>
        <vt:i4>0</vt:i4>
      </vt:variant>
      <vt:variant>
        <vt:i4>5</vt:i4>
      </vt:variant>
      <vt:variant>
        <vt:lpwstr>https://mls.planttreaty.org/itt/</vt:lpwstr>
      </vt:variant>
      <vt:variant>
        <vt:lpwstr/>
      </vt:variant>
      <vt:variant>
        <vt:i4>2293856</vt:i4>
      </vt:variant>
      <vt:variant>
        <vt:i4>0</vt:i4>
      </vt:variant>
      <vt:variant>
        <vt:i4>0</vt:i4>
      </vt:variant>
      <vt:variant>
        <vt:i4>5</vt:i4>
      </vt:variant>
      <vt:variant>
        <vt:lpwstr>http://www.planttreaty.org/content/resolution-52009-procedures-third-party-beneficiary</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Implementation Guidelines</dc:title>
  <dc:creator>Michelle FOTSY</dc:creator>
  <cp:lastModifiedBy>eperset</cp:lastModifiedBy>
  <cp:revision>2</cp:revision>
  <cp:lastPrinted>2013-03-12T10:53:00Z</cp:lastPrinted>
  <dcterms:created xsi:type="dcterms:W3CDTF">2014-01-28T15:31:00Z</dcterms:created>
  <dcterms:modified xsi:type="dcterms:W3CDTF">2014-01-28T15:31:00Z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0x0101006937CD74B97502439A3D32235943A0EC</vt:lpwstr>
  </property>
  <property fmtid="{D5CDD505-2E9C-101B-9397-08002B2CF9AE}" pid="3" name="Document Type">
    <vt:lpwstr>N/A</vt:lpwstr>
  </property>
  <property fmtid="{D5CDD505-2E9C-101B-9397-08002B2CF9AE}" pid="4" name="_dlc_DocIdPersistId">
    <vt:lpwstr/>
  </property>
</Properties>
</file>